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18118AD2" w:rsidR="00F72F4F" w:rsidRDefault="00510297" w:rsidP="00F72F4F">
      <w:pPr>
        <w:pStyle w:val="CH"/>
      </w:pPr>
      <w:bookmarkStart w:id="0" w:name="historyclause"/>
      <w:r w:rsidRPr="006073EA">
        <w:t>3GPP RAN WG</w:t>
      </w:r>
      <w:r>
        <w:t>4</w:t>
      </w:r>
      <w:r w:rsidRPr="006073EA">
        <w:t xml:space="preserve"> Meeting #</w:t>
      </w:r>
      <w:r>
        <w:t>1</w:t>
      </w:r>
      <w:r w:rsidR="00CC3FFD">
        <w:t>1</w:t>
      </w:r>
      <w:r w:rsidR="00CC2275">
        <w:t>3</w:t>
      </w:r>
      <w:r w:rsidR="00F72F4F">
        <w:tab/>
      </w:r>
      <w:r w:rsidR="00F72F4F">
        <w:tab/>
      </w:r>
      <w:r w:rsidR="00BB31D8" w:rsidRPr="00BB31D8">
        <w:t>R4-241776</w:t>
      </w:r>
      <w:r w:rsidR="0024746B">
        <w:t>1</w:t>
      </w:r>
    </w:p>
    <w:p w14:paraId="4A8CACC6" w14:textId="19031950" w:rsidR="00F72F4F" w:rsidRPr="00FD166F" w:rsidRDefault="00CC2275" w:rsidP="00F72F4F">
      <w:pPr>
        <w:pStyle w:val="CH"/>
        <w:tabs>
          <w:tab w:val="clear" w:pos="7920"/>
        </w:tabs>
        <w:rPr>
          <w:b w:val="0"/>
        </w:rPr>
      </w:pPr>
      <w:r w:rsidRPr="00CC2275">
        <w:t>Orlando, USA, November 18</w:t>
      </w:r>
      <w:r w:rsidRPr="00CC2275">
        <w:rPr>
          <w:vertAlign w:val="superscript"/>
        </w:rPr>
        <w:t>th</w:t>
      </w:r>
      <w:r w:rsidRPr="00CC2275">
        <w:t xml:space="preserve"> – 22</w:t>
      </w:r>
      <w:r w:rsidRPr="00CC2275">
        <w:rPr>
          <w:vertAlign w:val="superscript"/>
        </w:rPr>
        <w:t>nd</w:t>
      </w:r>
      <w:r w:rsidRPr="00CC2275">
        <w:t>, 2024</w:t>
      </w:r>
    </w:p>
    <w:p w14:paraId="39A0EE25" w14:textId="77777777" w:rsidR="00D309CC" w:rsidRDefault="00D309CC" w:rsidP="00D309CC">
      <w:pPr>
        <w:tabs>
          <w:tab w:val="left" w:pos="2160"/>
        </w:tabs>
        <w:rPr>
          <w:rFonts w:ascii="Arial" w:hAnsi="Arial" w:cs="Arial"/>
          <w:b/>
        </w:rPr>
      </w:pPr>
    </w:p>
    <w:p w14:paraId="6DDCE159" w14:textId="583553E5" w:rsidR="00D309CC" w:rsidRPr="004D7D9D" w:rsidRDefault="00D309CC" w:rsidP="00D309CC">
      <w:pPr>
        <w:pStyle w:val="CH"/>
        <w:rPr>
          <w:b w:val="0"/>
          <w:bCs/>
        </w:rPr>
      </w:pPr>
      <w:r w:rsidRPr="0008103A">
        <w:t>Agenda item:</w:t>
      </w:r>
      <w:r>
        <w:tab/>
      </w:r>
      <w:r w:rsidR="00CC2275">
        <w:t>7</w:t>
      </w:r>
      <w:r w:rsidR="00121E89">
        <w:t>.1.1.1.1</w:t>
      </w:r>
    </w:p>
    <w:p w14:paraId="4DBE005A" w14:textId="4DFA2DBD" w:rsidR="00D309CC" w:rsidRPr="0008103A" w:rsidRDefault="00D309CC" w:rsidP="00D309CC">
      <w:pPr>
        <w:pStyle w:val="CH"/>
        <w:rPr>
          <w:b w:val="0"/>
        </w:rPr>
      </w:pPr>
      <w:r>
        <w:t>Source:</w:t>
      </w:r>
      <w:r>
        <w:tab/>
        <w:t>Apple</w:t>
      </w:r>
    </w:p>
    <w:p w14:paraId="0D2061A1" w14:textId="669D3443" w:rsidR="00D309CC" w:rsidRDefault="00D309CC" w:rsidP="00D6592A">
      <w:pPr>
        <w:pStyle w:val="CH"/>
        <w:ind w:left="2275" w:hanging="2275"/>
      </w:pPr>
      <w:r w:rsidRPr="0008103A">
        <w:t>Title:</w:t>
      </w:r>
      <w:r w:rsidRPr="0008103A">
        <w:tab/>
      </w:r>
      <w:r w:rsidR="009E447F" w:rsidRPr="009E447F">
        <w:t>On Rel-19 HPUE CA/DC SAR compliance consideration</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7E2C6A4B" w:rsidR="009B4165"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w:t>
      </w:r>
      <w:r w:rsidR="00E97F17">
        <w:rPr>
          <w:rFonts w:ascii="Arial" w:hAnsi="Arial" w:cs="Arial"/>
          <w:sz w:val="20"/>
          <w:szCs w:val="20"/>
        </w:rPr>
        <w:t>additional agreements</w:t>
      </w:r>
      <w:r>
        <w:rPr>
          <w:rFonts w:ascii="Arial" w:hAnsi="Arial" w:cs="Arial"/>
          <w:sz w:val="20"/>
          <w:szCs w:val="20"/>
        </w:rPr>
        <w:t xml:space="preserve"> were </w:t>
      </w:r>
      <w:r w:rsidR="00E97F17">
        <w:rPr>
          <w:rFonts w:ascii="Arial" w:hAnsi="Arial" w:cs="Arial"/>
          <w:sz w:val="20"/>
          <w:szCs w:val="20"/>
        </w:rPr>
        <w:t>captured</w:t>
      </w:r>
      <w:r>
        <w:rPr>
          <w:rFonts w:ascii="Arial" w:hAnsi="Arial" w:cs="Arial"/>
          <w:sz w:val="20"/>
          <w:szCs w:val="20"/>
        </w:rPr>
        <w:t xml:space="preserve"> </w:t>
      </w:r>
      <w:r w:rsidR="00E97F17">
        <w:rPr>
          <w:rFonts w:ascii="Arial" w:hAnsi="Arial" w:cs="Arial"/>
          <w:sz w:val="20"/>
          <w:szCs w:val="20"/>
        </w:rPr>
        <w:t>in</w:t>
      </w:r>
      <w:r>
        <w:rPr>
          <w:rFonts w:ascii="Arial" w:hAnsi="Arial" w:cs="Arial"/>
          <w:sz w:val="20"/>
          <w:szCs w:val="20"/>
        </w:rPr>
        <w:t xml:space="preserve"> </w:t>
      </w:r>
      <w:r w:rsidR="00E97F17">
        <w:rPr>
          <w:rFonts w:ascii="Arial" w:hAnsi="Arial" w:cs="Arial"/>
          <w:sz w:val="20"/>
          <w:szCs w:val="20"/>
        </w:rPr>
        <w:t>the</w:t>
      </w:r>
      <w:r>
        <w:rPr>
          <w:rFonts w:ascii="Arial" w:hAnsi="Arial" w:cs="Arial"/>
          <w:sz w:val="20"/>
          <w:szCs w:val="20"/>
        </w:rPr>
        <w:t xml:space="preserve"> approved </w:t>
      </w:r>
      <w:r w:rsidR="00CC2275">
        <w:rPr>
          <w:rFonts w:ascii="Arial" w:hAnsi="Arial" w:cs="Arial"/>
          <w:sz w:val="20"/>
          <w:szCs w:val="20"/>
        </w:rPr>
        <w:t>“</w:t>
      </w:r>
      <w:r w:rsidR="00CC2275" w:rsidRPr="006F5AA5">
        <w:rPr>
          <w:rFonts w:ascii="Arial" w:hAnsi="Arial" w:cs="Arial"/>
          <w:sz w:val="20"/>
          <w:szCs w:val="20"/>
        </w:rPr>
        <w:t>WF on HPUE RF requirements</w:t>
      </w:r>
      <w:r w:rsidR="00CC2275">
        <w:rPr>
          <w:rFonts w:ascii="Arial" w:hAnsi="Arial" w:cs="Arial"/>
          <w:sz w:val="20"/>
          <w:szCs w:val="20"/>
        </w:rPr>
        <w:t>” [2]</w:t>
      </w:r>
      <w:r w:rsidR="00B0024C">
        <w:rPr>
          <w:rFonts w:ascii="Arial" w:hAnsi="Arial" w:cs="Arial"/>
          <w:sz w:val="20"/>
          <w:szCs w:val="20"/>
        </w:rPr>
        <w:t>.</w:t>
      </w:r>
      <w:r w:rsidR="00727A5D">
        <w:rPr>
          <w:rFonts w:ascii="Arial" w:hAnsi="Arial" w:cs="Arial"/>
          <w:sz w:val="20"/>
          <w:szCs w:val="20"/>
        </w:rPr>
        <w:t xml:space="preserve"> </w:t>
      </w:r>
      <w:r w:rsidR="00FE5058">
        <w:rPr>
          <w:rFonts w:ascii="Arial" w:hAnsi="Arial" w:cs="Arial"/>
          <w:sz w:val="20"/>
          <w:szCs w:val="20"/>
        </w:rPr>
        <w:t xml:space="preserve">On the SAR compliance aspect, </w:t>
      </w:r>
      <w:r w:rsidR="00271ECF" w:rsidRPr="00271ECF">
        <w:rPr>
          <w:rFonts w:ascii="Arial" w:hAnsi="Arial" w:cs="Arial"/>
          <w:sz w:val="20"/>
          <w:szCs w:val="20"/>
        </w:rPr>
        <w:t>it was agreed that duty cycle solution for SAR will be discussed for PC1.5 intra-band and inter-band UL CA, and for PC1.5 and PC2 EN-DC, duty cycle solution for SAR will be discussed for the scenario without new IE introduction.</w:t>
      </w:r>
      <w:r w:rsidR="00FE5058">
        <w:rPr>
          <w:rFonts w:ascii="Arial" w:hAnsi="Arial" w:cs="Arial"/>
          <w:sz w:val="20"/>
          <w:szCs w:val="20"/>
        </w:rPr>
        <w:t xml:space="preserve">   </w:t>
      </w:r>
      <w:r w:rsidR="00745FCD">
        <w:rPr>
          <w:rFonts w:ascii="Arial" w:hAnsi="Arial" w:cs="Arial"/>
          <w:sz w:val="20"/>
          <w:szCs w:val="20"/>
        </w:rPr>
        <w:t xml:space="preserve">  </w:t>
      </w:r>
      <w:r w:rsidR="00B54007">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4E6DA077"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share our views on </w:t>
      </w:r>
      <w:r w:rsidR="00745FCD">
        <w:rPr>
          <w:rFonts w:ascii="Arial" w:hAnsi="Arial" w:cs="Arial"/>
          <w:sz w:val="20"/>
          <w:szCs w:val="20"/>
        </w:rPr>
        <w:t xml:space="preserve">the </w:t>
      </w:r>
      <w:r w:rsidR="00F664DB">
        <w:rPr>
          <w:rFonts w:ascii="Arial" w:hAnsi="Arial" w:cs="Arial"/>
          <w:sz w:val="20"/>
          <w:szCs w:val="20"/>
        </w:rPr>
        <w:t xml:space="preserve">SAR compliance aspect for HPUE CA/DC combinations and propose not to further consider UL duty-cycle </w:t>
      </w:r>
      <w:r w:rsidR="00B80498">
        <w:rPr>
          <w:rFonts w:ascii="Arial" w:hAnsi="Arial" w:cs="Arial"/>
          <w:sz w:val="20"/>
          <w:szCs w:val="20"/>
        </w:rPr>
        <w:t>with</w:t>
      </w:r>
      <w:r w:rsidR="00F664DB">
        <w:rPr>
          <w:rFonts w:ascii="Arial" w:hAnsi="Arial" w:cs="Arial"/>
          <w:sz w:val="20"/>
          <w:szCs w:val="20"/>
        </w:rPr>
        <w:t xml:space="preserve"> ΔP</w:t>
      </w:r>
      <w:r w:rsidR="00F664DB" w:rsidRPr="00814317">
        <w:rPr>
          <w:rFonts w:ascii="Arial" w:hAnsi="Arial" w:cs="Arial"/>
          <w:sz w:val="20"/>
          <w:szCs w:val="20"/>
          <w:vertAlign w:val="subscript"/>
        </w:rPr>
        <w:t>PowerClass</w:t>
      </w:r>
      <w:r w:rsidR="00814317">
        <w:rPr>
          <w:rFonts w:ascii="Arial" w:hAnsi="Arial" w:cs="Arial"/>
          <w:sz w:val="20"/>
          <w:szCs w:val="20"/>
        </w:rPr>
        <w:t xml:space="preserve"> </w:t>
      </w:r>
      <w:r w:rsidR="00B80498">
        <w:rPr>
          <w:rFonts w:ascii="Arial" w:hAnsi="Arial" w:cs="Arial"/>
          <w:sz w:val="20"/>
          <w:szCs w:val="20"/>
        </w:rPr>
        <w:t xml:space="preserve">for SAR mitigation </w:t>
      </w:r>
      <w:r w:rsidR="00814317">
        <w:rPr>
          <w:rFonts w:ascii="Arial" w:hAnsi="Arial" w:cs="Arial"/>
          <w:sz w:val="20"/>
          <w:szCs w:val="20"/>
        </w:rPr>
        <w:t>from Rel-19 and going forward.</w:t>
      </w:r>
      <w:r w:rsidR="00F664DB">
        <w:rPr>
          <w:rFonts w:ascii="Arial" w:hAnsi="Arial" w:cs="Arial"/>
          <w:sz w:val="20"/>
          <w:szCs w:val="20"/>
        </w:rPr>
        <w:t xml:space="preserve">  </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0FD11183" w14:textId="77777777" w:rsidR="00295527" w:rsidRDefault="00295527" w:rsidP="00295527">
      <w:pPr>
        <w:jc w:val="both"/>
        <w:rPr>
          <w:rFonts w:ascii="Arial" w:hAnsi="Arial" w:cs="Arial"/>
          <w:bCs/>
          <w:sz w:val="20"/>
          <w:szCs w:val="20"/>
        </w:rPr>
      </w:pPr>
    </w:p>
    <w:p w14:paraId="37B84C01" w14:textId="173A2B4C" w:rsidR="00B935F2" w:rsidRDefault="003B270B" w:rsidP="008C6C35">
      <w:pPr>
        <w:spacing w:after="120"/>
        <w:jc w:val="both"/>
        <w:rPr>
          <w:rFonts w:ascii="Arial" w:hAnsi="Arial" w:cs="Arial"/>
          <w:bCs/>
          <w:sz w:val="20"/>
          <w:szCs w:val="20"/>
        </w:rPr>
      </w:pPr>
      <w:r>
        <w:rPr>
          <w:rFonts w:ascii="Arial" w:hAnsi="Arial" w:cs="Arial"/>
          <w:bCs/>
          <w:sz w:val="20"/>
          <w:szCs w:val="20"/>
        </w:rPr>
        <w:t>SAR (</w:t>
      </w:r>
      <w:r w:rsidRPr="003B270B">
        <w:rPr>
          <w:rFonts w:ascii="Arial" w:hAnsi="Arial" w:cs="Arial"/>
          <w:bCs/>
          <w:sz w:val="20"/>
          <w:szCs w:val="20"/>
        </w:rPr>
        <w:t>Specific Absorption Rate</w:t>
      </w:r>
      <w:r>
        <w:rPr>
          <w:rFonts w:ascii="Arial" w:hAnsi="Arial" w:cs="Arial"/>
          <w:bCs/>
          <w:sz w:val="20"/>
          <w:szCs w:val="20"/>
        </w:rPr>
        <w:t xml:space="preserve">) </w:t>
      </w:r>
      <w:r w:rsidRPr="003B270B">
        <w:rPr>
          <w:rFonts w:ascii="Arial" w:hAnsi="Arial" w:cs="Arial"/>
          <w:bCs/>
          <w:sz w:val="20"/>
          <w:szCs w:val="20"/>
        </w:rPr>
        <w:t>is a measure of the rate of RF energy absorption by the body from the source being measured</w:t>
      </w:r>
      <w:r>
        <w:rPr>
          <w:rFonts w:ascii="Arial" w:hAnsi="Arial" w:cs="Arial"/>
          <w:bCs/>
          <w:sz w:val="20"/>
          <w:szCs w:val="20"/>
        </w:rPr>
        <w:t>, specifically a handheld UE</w:t>
      </w:r>
      <w:r w:rsidR="00790B2B">
        <w:rPr>
          <w:rFonts w:ascii="Arial" w:hAnsi="Arial" w:cs="Arial"/>
          <w:bCs/>
          <w:sz w:val="20"/>
          <w:szCs w:val="20"/>
        </w:rPr>
        <w:t xml:space="preserve"> from 3GPP perspective</w:t>
      </w:r>
      <w:r w:rsidRPr="003B270B">
        <w:rPr>
          <w:rFonts w:ascii="Arial" w:hAnsi="Arial" w:cs="Arial"/>
          <w:bCs/>
          <w:sz w:val="20"/>
          <w:szCs w:val="20"/>
        </w:rPr>
        <w:t>.</w:t>
      </w:r>
      <w:r>
        <w:rPr>
          <w:rFonts w:ascii="Arial" w:hAnsi="Arial" w:cs="Arial"/>
          <w:bCs/>
          <w:sz w:val="20"/>
          <w:szCs w:val="20"/>
        </w:rPr>
        <w:t xml:space="preserve"> </w:t>
      </w:r>
      <w:r w:rsidR="00790B2B">
        <w:rPr>
          <w:rFonts w:ascii="Arial" w:hAnsi="Arial" w:cs="Arial"/>
          <w:bCs/>
          <w:sz w:val="20"/>
          <w:szCs w:val="20"/>
        </w:rPr>
        <w:t xml:space="preserve">SAR limit is a regulatory requirement which is to ensure the human exposure to RF energy is below the safety level while using the device. </w:t>
      </w:r>
      <w:r>
        <w:rPr>
          <w:rFonts w:ascii="Arial" w:hAnsi="Arial" w:cs="Arial"/>
          <w:bCs/>
          <w:sz w:val="20"/>
          <w:szCs w:val="20"/>
        </w:rPr>
        <w:t>The term “SAR” however has never been officially defined in 3GPP specifications, instead,</w:t>
      </w:r>
      <w:r w:rsidR="00790B2B">
        <w:rPr>
          <w:rFonts w:ascii="Arial" w:hAnsi="Arial" w:cs="Arial"/>
          <w:bCs/>
          <w:sz w:val="20"/>
          <w:szCs w:val="20"/>
        </w:rPr>
        <w:t xml:space="preserve"> it is </w:t>
      </w:r>
      <w:r w:rsidR="00B935F2">
        <w:rPr>
          <w:rFonts w:ascii="Arial" w:hAnsi="Arial" w:cs="Arial"/>
          <w:bCs/>
          <w:sz w:val="20"/>
          <w:szCs w:val="20"/>
        </w:rPr>
        <w:t xml:space="preserve">simply </w:t>
      </w:r>
      <w:r w:rsidR="00790B2B">
        <w:rPr>
          <w:rFonts w:ascii="Arial" w:hAnsi="Arial" w:cs="Arial"/>
          <w:bCs/>
          <w:sz w:val="20"/>
          <w:szCs w:val="20"/>
        </w:rPr>
        <w:t>referred as</w:t>
      </w:r>
      <w:r w:rsidR="00B935F2">
        <w:rPr>
          <w:rFonts w:ascii="Arial" w:hAnsi="Arial" w:cs="Arial"/>
          <w:bCs/>
          <w:sz w:val="20"/>
          <w:szCs w:val="20"/>
        </w:rPr>
        <w:t xml:space="preserve"> the “</w:t>
      </w:r>
      <w:r w:rsidR="00B935F2" w:rsidRPr="00B935F2">
        <w:rPr>
          <w:rFonts w:ascii="Arial" w:hAnsi="Arial" w:cs="Arial"/>
          <w:bCs/>
          <w:sz w:val="20"/>
          <w:szCs w:val="20"/>
        </w:rPr>
        <w:t>applicable electromagnetic energy absorption requirements</w:t>
      </w:r>
      <w:r w:rsidR="00B935F2">
        <w:rPr>
          <w:rFonts w:ascii="Arial" w:hAnsi="Arial" w:cs="Arial"/>
          <w:bCs/>
          <w:sz w:val="20"/>
          <w:szCs w:val="20"/>
        </w:rPr>
        <w:t xml:space="preserve">” but without explicit </w:t>
      </w:r>
      <w:r w:rsidR="00C9378E">
        <w:rPr>
          <w:rFonts w:ascii="Arial" w:hAnsi="Arial" w:cs="Arial"/>
          <w:bCs/>
          <w:sz w:val="20"/>
          <w:szCs w:val="20"/>
        </w:rPr>
        <w:t>value</w:t>
      </w:r>
      <w:r w:rsidR="00B935F2">
        <w:rPr>
          <w:rFonts w:ascii="Arial" w:hAnsi="Arial" w:cs="Arial"/>
          <w:bCs/>
          <w:sz w:val="20"/>
          <w:szCs w:val="20"/>
        </w:rPr>
        <w:t xml:space="preserve"> specified.</w:t>
      </w:r>
    </w:p>
    <w:p w14:paraId="60470C71" w14:textId="77777777" w:rsidR="00B935F2" w:rsidRDefault="00B935F2" w:rsidP="00B935F2">
      <w:pPr>
        <w:jc w:val="both"/>
        <w:rPr>
          <w:rFonts w:ascii="Arial" w:hAnsi="Arial" w:cs="Arial"/>
          <w:bCs/>
          <w:sz w:val="20"/>
          <w:szCs w:val="20"/>
        </w:rPr>
      </w:pPr>
    </w:p>
    <w:p w14:paraId="79E5E579" w14:textId="4669FAA0" w:rsidR="00BA4767" w:rsidRPr="00BA4767" w:rsidRDefault="00BA4767" w:rsidP="00BA4767">
      <w:pPr>
        <w:spacing w:after="120"/>
        <w:jc w:val="both"/>
        <w:rPr>
          <w:rFonts w:ascii="Arial" w:hAnsi="Arial" w:cs="Arial"/>
          <w:bCs/>
          <w:i/>
          <w:iCs/>
          <w:sz w:val="20"/>
          <w:szCs w:val="20"/>
        </w:rPr>
      </w:pPr>
      <w:r w:rsidRPr="00BA4767">
        <w:rPr>
          <w:rFonts w:ascii="Arial" w:hAnsi="Arial" w:cs="Arial"/>
          <w:b/>
          <w:i/>
          <w:iCs/>
          <w:sz w:val="20"/>
          <w:szCs w:val="20"/>
        </w:rPr>
        <w:t>Observation 1</w:t>
      </w:r>
      <w:r w:rsidRPr="00BA4767">
        <w:rPr>
          <w:rFonts w:ascii="Arial" w:hAnsi="Arial" w:cs="Arial"/>
          <w:bCs/>
          <w:i/>
          <w:iCs/>
          <w:sz w:val="20"/>
          <w:szCs w:val="20"/>
        </w:rPr>
        <w:t>: The term “SAR” has never been officially defined in 3GPP specifications, instead, it is simply referred as the “applicable electromagnetic energy absorption requirements” but without explicit value specified.</w:t>
      </w:r>
    </w:p>
    <w:p w14:paraId="5FCF1454" w14:textId="77777777" w:rsidR="00BA4767" w:rsidRDefault="00BA4767" w:rsidP="00B935F2">
      <w:pPr>
        <w:jc w:val="both"/>
        <w:rPr>
          <w:rFonts w:ascii="Arial" w:hAnsi="Arial" w:cs="Arial"/>
          <w:bCs/>
          <w:sz w:val="20"/>
          <w:szCs w:val="20"/>
        </w:rPr>
      </w:pPr>
    </w:p>
    <w:p w14:paraId="3BD65A16" w14:textId="1708C813" w:rsidR="003B308D" w:rsidRDefault="00FD3F5B" w:rsidP="008C6C35">
      <w:pPr>
        <w:spacing w:after="120"/>
        <w:jc w:val="both"/>
        <w:rPr>
          <w:rFonts w:ascii="Arial" w:hAnsi="Arial" w:cs="Arial"/>
          <w:bCs/>
          <w:sz w:val="20"/>
          <w:szCs w:val="20"/>
        </w:rPr>
      </w:pPr>
      <w:r>
        <w:rPr>
          <w:rFonts w:ascii="Arial" w:hAnsi="Arial" w:cs="Arial"/>
          <w:bCs/>
          <w:sz w:val="20"/>
          <w:szCs w:val="20"/>
        </w:rPr>
        <w:t xml:space="preserve">In 3GPP, the SAR issue has been made more aware </w:t>
      </w:r>
      <w:r w:rsidR="00D02D5A">
        <w:rPr>
          <w:rFonts w:ascii="Arial" w:hAnsi="Arial" w:cs="Arial"/>
          <w:bCs/>
          <w:sz w:val="20"/>
          <w:szCs w:val="20"/>
        </w:rPr>
        <w:t xml:space="preserve">since </w:t>
      </w:r>
      <w:r>
        <w:rPr>
          <w:rFonts w:ascii="Arial" w:hAnsi="Arial" w:cs="Arial"/>
          <w:bCs/>
          <w:sz w:val="20"/>
          <w:szCs w:val="20"/>
        </w:rPr>
        <w:t xml:space="preserve">the HPUE was </w:t>
      </w:r>
      <w:r w:rsidR="00D02D5A">
        <w:rPr>
          <w:rFonts w:ascii="Arial" w:hAnsi="Arial" w:cs="Arial"/>
          <w:bCs/>
          <w:sz w:val="20"/>
          <w:szCs w:val="20"/>
        </w:rPr>
        <w:t xml:space="preserve">first </w:t>
      </w:r>
      <w:r>
        <w:rPr>
          <w:rFonts w:ascii="Arial" w:hAnsi="Arial" w:cs="Arial"/>
          <w:bCs/>
          <w:sz w:val="20"/>
          <w:szCs w:val="20"/>
        </w:rPr>
        <w:t>introduced in LTE for handheld</w:t>
      </w:r>
      <w:r w:rsidR="00D02D5A">
        <w:rPr>
          <w:rFonts w:ascii="Arial" w:hAnsi="Arial" w:cs="Arial"/>
          <w:bCs/>
          <w:sz w:val="20"/>
          <w:szCs w:val="20"/>
        </w:rPr>
        <w:t xml:space="preserve"> devices</w:t>
      </w:r>
      <w:r>
        <w:rPr>
          <w:rFonts w:ascii="Arial" w:hAnsi="Arial" w:cs="Arial"/>
          <w:bCs/>
          <w:sz w:val="20"/>
          <w:szCs w:val="20"/>
        </w:rPr>
        <w:t>. In nearly</w:t>
      </w:r>
      <w:r w:rsidR="00D02D5A">
        <w:rPr>
          <w:rFonts w:ascii="Arial" w:hAnsi="Arial" w:cs="Arial"/>
          <w:bCs/>
          <w:sz w:val="20"/>
          <w:szCs w:val="20"/>
        </w:rPr>
        <w:t xml:space="preserve"> every HPUE related work item, SAR mitigation has been included as an objective which had seemingly led to a misconception that</w:t>
      </w:r>
      <w:r w:rsidR="002A460E">
        <w:rPr>
          <w:rFonts w:ascii="Arial" w:hAnsi="Arial" w:cs="Arial"/>
          <w:bCs/>
          <w:sz w:val="20"/>
          <w:szCs w:val="20"/>
        </w:rPr>
        <w:t xml:space="preserve"> SAR solution is only needed for HPUE, but not for default power class (PC3) or even lower power UE. </w:t>
      </w:r>
      <w:r w:rsidR="007C1349">
        <w:rPr>
          <w:rFonts w:ascii="Arial" w:hAnsi="Arial" w:cs="Arial"/>
          <w:bCs/>
          <w:sz w:val="20"/>
          <w:szCs w:val="20"/>
        </w:rPr>
        <w:t xml:space="preserve">In fact, even before the introduction of HPUE, SAR mitigation has already been considered in 3GPP specifications, which is known as the P-MPR solution. </w:t>
      </w:r>
      <w:r w:rsidR="005D5C72">
        <w:rPr>
          <w:rFonts w:ascii="Arial" w:hAnsi="Arial" w:cs="Arial"/>
          <w:bCs/>
          <w:sz w:val="20"/>
          <w:szCs w:val="20"/>
        </w:rPr>
        <w:t xml:space="preserve">In our view, the SAR issue </w:t>
      </w:r>
      <w:r w:rsidR="007C1349">
        <w:rPr>
          <w:rFonts w:ascii="Arial" w:hAnsi="Arial" w:cs="Arial"/>
          <w:bCs/>
          <w:sz w:val="20"/>
          <w:szCs w:val="20"/>
        </w:rPr>
        <w:lastRenderedPageBreak/>
        <w:t>being</w:t>
      </w:r>
      <w:r w:rsidR="005D5C72">
        <w:rPr>
          <w:rFonts w:ascii="Arial" w:hAnsi="Arial" w:cs="Arial"/>
          <w:bCs/>
          <w:sz w:val="20"/>
          <w:szCs w:val="20"/>
        </w:rPr>
        <w:t xml:space="preserve"> made more aware for HPUE is due to that a new solution, also known as “duty-cycle” approach was </w:t>
      </w:r>
      <w:r w:rsidR="003B308D">
        <w:rPr>
          <w:rFonts w:ascii="Arial" w:hAnsi="Arial" w:cs="Arial"/>
          <w:bCs/>
          <w:sz w:val="20"/>
          <w:szCs w:val="20"/>
        </w:rPr>
        <w:t xml:space="preserve">specifically </w:t>
      </w:r>
      <w:r w:rsidR="005D5C72">
        <w:rPr>
          <w:rFonts w:ascii="Arial" w:hAnsi="Arial" w:cs="Arial"/>
          <w:bCs/>
          <w:sz w:val="20"/>
          <w:szCs w:val="20"/>
        </w:rPr>
        <w:t>introduced for HPUE</w:t>
      </w:r>
      <w:r w:rsidR="007C1349">
        <w:rPr>
          <w:rFonts w:ascii="Arial" w:hAnsi="Arial" w:cs="Arial"/>
          <w:bCs/>
          <w:sz w:val="20"/>
          <w:szCs w:val="20"/>
        </w:rPr>
        <w:t xml:space="preserve">. </w:t>
      </w:r>
      <w:r w:rsidR="000816E4">
        <w:rPr>
          <w:rFonts w:ascii="Arial" w:hAnsi="Arial" w:cs="Arial"/>
          <w:bCs/>
          <w:sz w:val="20"/>
          <w:szCs w:val="20"/>
        </w:rPr>
        <w:t>As</w:t>
      </w:r>
      <w:r w:rsidR="007C1349">
        <w:rPr>
          <w:rFonts w:ascii="Arial" w:hAnsi="Arial" w:cs="Arial"/>
          <w:bCs/>
          <w:sz w:val="20"/>
          <w:szCs w:val="20"/>
        </w:rPr>
        <w:t xml:space="preserve"> 3GPP </w:t>
      </w:r>
      <w:r w:rsidR="000816E4">
        <w:rPr>
          <w:rFonts w:ascii="Arial" w:hAnsi="Arial" w:cs="Arial"/>
          <w:bCs/>
          <w:sz w:val="20"/>
          <w:szCs w:val="20"/>
        </w:rPr>
        <w:t xml:space="preserve">has been </w:t>
      </w:r>
      <w:r w:rsidR="007C1349">
        <w:rPr>
          <w:rFonts w:ascii="Arial" w:hAnsi="Arial" w:cs="Arial"/>
          <w:bCs/>
          <w:sz w:val="20"/>
          <w:szCs w:val="20"/>
        </w:rPr>
        <w:t>focus</w:t>
      </w:r>
      <w:r w:rsidR="000816E4">
        <w:rPr>
          <w:rFonts w:ascii="Arial" w:hAnsi="Arial" w:cs="Arial"/>
          <w:bCs/>
          <w:sz w:val="20"/>
          <w:szCs w:val="20"/>
        </w:rPr>
        <w:t>ing</w:t>
      </w:r>
      <w:r w:rsidR="007C1349">
        <w:rPr>
          <w:rFonts w:ascii="Arial" w:hAnsi="Arial" w:cs="Arial"/>
          <w:bCs/>
          <w:sz w:val="20"/>
          <w:szCs w:val="20"/>
        </w:rPr>
        <w:t xml:space="preserve"> so much on the duty-cycle</w:t>
      </w:r>
      <w:r w:rsidR="003B308D">
        <w:rPr>
          <w:rFonts w:ascii="Arial" w:hAnsi="Arial" w:cs="Arial"/>
          <w:bCs/>
          <w:sz w:val="20"/>
          <w:szCs w:val="20"/>
        </w:rPr>
        <w:t xml:space="preserve"> solution for almost every HPUE</w:t>
      </w:r>
      <w:r w:rsidR="000816E4">
        <w:rPr>
          <w:rFonts w:ascii="Arial" w:hAnsi="Arial" w:cs="Arial"/>
          <w:bCs/>
          <w:sz w:val="20"/>
          <w:szCs w:val="20"/>
        </w:rPr>
        <w:t xml:space="preserve"> UL configuration</w:t>
      </w:r>
      <w:r w:rsidR="003B308D">
        <w:rPr>
          <w:rFonts w:ascii="Arial" w:hAnsi="Arial" w:cs="Arial"/>
          <w:bCs/>
          <w:sz w:val="20"/>
          <w:szCs w:val="20"/>
        </w:rPr>
        <w:t>, the most fundamental solution of using P-MPR was often overlooked or taken for granted.</w:t>
      </w:r>
    </w:p>
    <w:p w14:paraId="365E0287" w14:textId="77777777" w:rsidR="003B308D" w:rsidRDefault="003B308D" w:rsidP="003B308D">
      <w:pPr>
        <w:jc w:val="both"/>
        <w:rPr>
          <w:rFonts w:ascii="Arial" w:hAnsi="Arial" w:cs="Arial"/>
          <w:bCs/>
          <w:sz w:val="20"/>
          <w:szCs w:val="20"/>
        </w:rPr>
      </w:pPr>
    </w:p>
    <w:p w14:paraId="360BDE6E" w14:textId="120FA954" w:rsidR="00BA4767" w:rsidRDefault="00BA4767" w:rsidP="00BA4767">
      <w:pPr>
        <w:spacing w:after="120"/>
        <w:jc w:val="both"/>
        <w:rPr>
          <w:rFonts w:ascii="Arial" w:hAnsi="Arial" w:cs="Arial"/>
          <w:bCs/>
          <w:sz w:val="20"/>
          <w:szCs w:val="20"/>
        </w:rPr>
      </w:pPr>
      <w:r w:rsidRPr="00BA4767">
        <w:rPr>
          <w:rFonts w:ascii="Arial" w:hAnsi="Arial" w:cs="Arial"/>
          <w:b/>
          <w:i/>
          <w:iCs/>
          <w:sz w:val="20"/>
          <w:szCs w:val="20"/>
        </w:rPr>
        <w:t xml:space="preserve">Observation </w:t>
      </w:r>
      <w:r>
        <w:rPr>
          <w:rFonts w:ascii="Arial" w:hAnsi="Arial" w:cs="Arial"/>
          <w:b/>
          <w:i/>
          <w:iCs/>
          <w:sz w:val="20"/>
          <w:szCs w:val="20"/>
        </w:rPr>
        <w:t>2</w:t>
      </w:r>
      <w:r w:rsidRPr="00BA4767">
        <w:rPr>
          <w:rFonts w:ascii="Arial" w:hAnsi="Arial" w:cs="Arial"/>
          <w:bCs/>
          <w:i/>
          <w:iCs/>
          <w:sz w:val="20"/>
          <w:szCs w:val="20"/>
        </w:rPr>
        <w:t>: In 3GPP, the SAR issue has been made more aware since the HPUE was first introduced in LTE for handheld devices.</w:t>
      </w:r>
    </w:p>
    <w:p w14:paraId="1EDC7252" w14:textId="77777777" w:rsidR="00BA4767" w:rsidRDefault="00BA4767" w:rsidP="003B308D">
      <w:pPr>
        <w:jc w:val="both"/>
        <w:rPr>
          <w:rFonts w:ascii="Arial" w:hAnsi="Arial" w:cs="Arial"/>
          <w:bCs/>
          <w:sz w:val="20"/>
          <w:szCs w:val="20"/>
        </w:rPr>
      </w:pPr>
    </w:p>
    <w:p w14:paraId="57D2F0C6" w14:textId="47D9C5C7" w:rsidR="00BA4767" w:rsidRDefault="00BA4767" w:rsidP="008C6C35">
      <w:pPr>
        <w:spacing w:after="120"/>
        <w:jc w:val="both"/>
        <w:rPr>
          <w:rFonts w:ascii="Arial" w:hAnsi="Arial" w:cs="Arial"/>
          <w:bCs/>
          <w:sz w:val="20"/>
          <w:szCs w:val="20"/>
        </w:rPr>
      </w:pPr>
      <w:r w:rsidRPr="00BA4767">
        <w:rPr>
          <w:rFonts w:ascii="Arial" w:hAnsi="Arial" w:cs="Arial"/>
          <w:b/>
          <w:i/>
          <w:iCs/>
          <w:sz w:val="20"/>
          <w:szCs w:val="20"/>
        </w:rPr>
        <w:t xml:space="preserve">Observation </w:t>
      </w:r>
      <w:r>
        <w:rPr>
          <w:rFonts w:ascii="Arial" w:hAnsi="Arial" w:cs="Arial"/>
          <w:b/>
          <w:i/>
          <w:iCs/>
          <w:sz w:val="20"/>
          <w:szCs w:val="20"/>
        </w:rPr>
        <w:t>3</w:t>
      </w:r>
      <w:r w:rsidRPr="00BA4767">
        <w:rPr>
          <w:rFonts w:ascii="Arial" w:hAnsi="Arial" w:cs="Arial"/>
          <w:bCs/>
          <w:i/>
          <w:iCs/>
          <w:sz w:val="20"/>
          <w:szCs w:val="20"/>
        </w:rPr>
        <w:t>: In fact, even before the introduction of HPUE, SAR mitigation has already been considered in 3GPP specifications, which is known as the P-MPR solution.</w:t>
      </w:r>
    </w:p>
    <w:p w14:paraId="08432297" w14:textId="77777777" w:rsidR="00BA4767" w:rsidRDefault="00BA4767" w:rsidP="00BA4767">
      <w:pPr>
        <w:jc w:val="both"/>
        <w:rPr>
          <w:rFonts w:ascii="Arial" w:hAnsi="Arial" w:cs="Arial"/>
          <w:bCs/>
          <w:sz w:val="20"/>
          <w:szCs w:val="20"/>
        </w:rPr>
      </w:pPr>
    </w:p>
    <w:p w14:paraId="2FA1263A" w14:textId="424C9D6A" w:rsidR="00EF3F4D" w:rsidRDefault="00EF3F4D" w:rsidP="008C6C35">
      <w:pPr>
        <w:spacing w:after="120"/>
        <w:jc w:val="both"/>
        <w:rPr>
          <w:rFonts w:ascii="Arial" w:hAnsi="Arial" w:cs="Arial"/>
          <w:bCs/>
          <w:sz w:val="20"/>
          <w:szCs w:val="20"/>
        </w:rPr>
      </w:pPr>
      <w:r>
        <w:rPr>
          <w:rFonts w:ascii="Arial" w:hAnsi="Arial" w:cs="Arial"/>
          <w:bCs/>
          <w:sz w:val="20"/>
          <w:szCs w:val="20"/>
        </w:rPr>
        <w:t xml:space="preserve">In our view, the original intention for UL “duty-cycle” solution was </w:t>
      </w:r>
      <w:r w:rsidR="00C1251D">
        <w:rPr>
          <w:rFonts w:ascii="Arial" w:hAnsi="Arial" w:cs="Arial"/>
          <w:bCs/>
          <w:sz w:val="20"/>
          <w:szCs w:val="20"/>
        </w:rPr>
        <w:t>to allow UE to indicate its</w:t>
      </w:r>
      <w:r>
        <w:rPr>
          <w:rFonts w:ascii="Arial" w:hAnsi="Arial" w:cs="Arial"/>
          <w:bCs/>
          <w:sz w:val="20"/>
          <w:szCs w:val="20"/>
        </w:rPr>
        <w:t xml:space="preserve"> maximum UL duty cycle capability under HPUE operation via IE</w:t>
      </w:r>
      <w:r w:rsidR="007F2AE4">
        <w:rPr>
          <w:rFonts w:ascii="Arial" w:hAnsi="Arial" w:cs="Arial"/>
          <w:bCs/>
          <w:sz w:val="20"/>
          <w:szCs w:val="20"/>
        </w:rPr>
        <w:t>s</w:t>
      </w:r>
      <w:r>
        <w:rPr>
          <w:rFonts w:ascii="Arial" w:hAnsi="Arial" w:cs="Arial"/>
          <w:bCs/>
          <w:sz w:val="20"/>
          <w:szCs w:val="20"/>
        </w:rPr>
        <w:t xml:space="preserve"> </w:t>
      </w:r>
      <w:r w:rsidR="007F2AE4">
        <w:rPr>
          <w:rFonts w:ascii="Arial" w:hAnsi="Arial" w:cs="Arial"/>
          <w:bCs/>
          <w:sz w:val="20"/>
          <w:szCs w:val="20"/>
        </w:rPr>
        <w:t xml:space="preserve">such as </w:t>
      </w:r>
      <w:r w:rsidR="00C1251D" w:rsidRPr="00C1251D">
        <w:rPr>
          <w:rFonts w:ascii="Arial" w:hAnsi="Arial" w:cs="Arial"/>
          <w:bCs/>
          <w:i/>
          <w:iCs/>
          <w:sz w:val="20"/>
          <w:szCs w:val="20"/>
        </w:rPr>
        <w:t>maxUplinkDutyCycle-PC2-FR1</w:t>
      </w:r>
      <w:r w:rsidR="00C1251D">
        <w:rPr>
          <w:rFonts w:ascii="Arial" w:hAnsi="Arial" w:cs="Arial"/>
          <w:bCs/>
          <w:sz w:val="20"/>
          <w:szCs w:val="20"/>
        </w:rPr>
        <w:t xml:space="preserve">, </w:t>
      </w:r>
      <w:r w:rsidR="007F2AE4" w:rsidRPr="007F2AE4">
        <w:rPr>
          <w:rFonts w:ascii="Arial" w:hAnsi="Arial" w:cs="Arial"/>
          <w:bCs/>
          <w:i/>
          <w:iCs/>
          <w:sz w:val="20"/>
          <w:szCs w:val="20"/>
        </w:rPr>
        <w:t>maxUplinkDutyCycle-PC1dot5-MPE-FR1</w:t>
      </w:r>
      <w:r w:rsidR="007F2AE4">
        <w:rPr>
          <w:rFonts w:ascii="Arial" w:hAnsi="Arial" w:cs="Arial"/>
          <w:bCs/>
          <w:sz w:val="20"/>
          <w:szCs w:val="20"/>
        </w:rPr>
        <w:t xml:space="preserve">, and </w:t>
      </w:r>
      <w:r w:rsidR="007F2AE4" w:rsidRPr="007F2AE4">
        <w:rPr>
          <w:rFonts w:ascii="Arial" w:hAnsi="Arial" w:cs="Arial"/>
          <w:bCs/>
          <w:i/>
          <w:iCs/>
          <w:sz w:val="20"/>
          <w:szCs w:val="20"/>
        </w:rPr>
        <w:t>maxUplinkDutyCycle-interBandCA-PC2</w:t>
      </w:r>
      <w:r w:rsidR="007F2AE4">
        <w:rPr>
          <w:rFonts w:ascii="Arial" w:hAnsi="Arial" w:cs="Arial"/>
          <w:bCs/>
          <w:sz w:val="20"/>
          <w:szCs w:val="20"/>
        </w:rPr>
        <w:t xml:space="preserve"> </w:t>
      </w:r>
      <w:r w:rsidR="00A35C73">
        <w:rPr>
          <w:rFonts w:ascii="Arial" w:hAnsi="Arial" w:cs="Arial"/>
          <w:bCs/>
          <w:sz w:val="20"/>
          <w:szCs w:val="20"/>
        </w:rPr>
        <w:t xml:space="preserve">to network </w:t>
      </w:r>
      <w:r w:rsidR="007F2AE4">
        <w:rPr>
          <w:rFonts w:ascii="Arial" w:hAnsi="Arial" w:cs="Arial"/>
          <w:bCs/>
          <w:sz w:val="20"/>
          <w:szCs w:val="20"/>
        </w:rPr>
        <w:t>so that network may assist UE</w:t>
      </w:r>
      <w:r w:rsidR="00A35C73">
        <w:rPr>
          <w:rFonts w:ascii="Arial" w:hAnsi="Arial" w:cs="Arial"/>
          <w:bCs/>
          <w:sz w:val="20"/>
          <w:szCs w:val="20"/>
        </w:rPr>
        <w:t xml:space="preserve"> to fulfill its SAR requirement by scheduling UL duty cycle to less than UE’s capability. However, the UE maximum </w:t>
      </w:r>
      <w:r w:rsidR="00EE6EE3">
        <w:rPr>
          <w:rFonts w:ascii="Arial" w:hAnsi="Arial" w:cs="Arial"/>
          <w:bCs/>
          <w:sz w:val="20"/>
          <w:szCs w:val="20"/>
        </w:rPr>
        <w:t xml:space="preserve">UL </w:t>
      </w:r>
      <w:r w:rsidR="00A35C73">
        <w:rPr>
          <w:rFonts w:ascii="Arial" w:hAnsi="Arial" w:cs="Arial"/>
          <w:bCs/>
          <w:sz w:val="20"/>
          <w:szCs w:val="20"/>
        </w:rPr>
        <w:t>duty cycle capability is only appl</w:t>
      </w:r>
      <w:r w:rsidR="002804E1">
        <w:rPr>
          <w:rFonts w:ascii="Arial" w:hAnsi="Arial" w:cs="Arial"/>
          <w:bCs/>
          <w:sz w:val="20"/>
          <w:szCs w:val="20"/>
        </w:rPr>
        <w:t>icable for either PC2 or PC1.5 under P</w:t>
      </w:r>
      <w:r w:rsidR="002804E1" w:rsidRPr="002804E1">
        <w:rPr>
          <w:rFonts w:ascii="Arial" w:hAnsi="Arial" w:cs="Arial"/>
          <w:bCs/>
          <w:sz w:val="20"/>
          <w:szCs w:val="20"/>
          <w:vertAlign w:val="subscript"/>
        </w:rPr>
        <w:t>CMAX</w:t>
      </w:r>
      <w:r w:rsidR="002804E1">
        <w:rPr>
          <w:rFonts w:ascii="Arial" w:hAnsi="Arial" w:cs="Arial"/>
          <w:bCs/>
          <w:sz w:val="20"/>
          <w:szCs w:val="20"/>
        </w:rPr>
        <w:t>. There is no provision to network on UE’s UL duty cycle capability at reduced UL power.</w:t>
      </w:r>
      <w:r w:rsidR="00F536E9">
        <w:rPr>
          <w:rFonts w:ascii="Arial" w:hAnsi="Arial" w:cs="Arial"/>
          <w:bCs/>
          <w:sz w:val="20"/>
          <w:szCs w:val="20"/>
        </w:rPr>
        <w:t xml:space="preserve"> On the other hand, if network has to accommodate different UEs with different maximum UL duty cycle capabilities, it may heavily constrain network’s scheduling flexibility. Therefore, despite UE maximum UL duty cycle capability has been introduced for NR since Rel-15, to our understanding, </w:t>
      </w:r>
      <w:r w:rsidR="0086413B">
        <w:rPr>
          <w:rFonts w:ascii="Arial" w:hAnsi="Arial" w:cs="Arial"/>
          <w:bCs/>
          <w:sz w:val="20"/>
          <w:szCs w:val="20"/>
        </w:rPr>
        <w:t>such capability has never been considered in network for UL scheduling.</w:t>
      </w:r>
      <w:r w:rsidR="00F536E9">
        <w:rPr>
          <w:rFonts w:ascii="Arial" w:hAnsi="Arial" w:cs="Arial"/>
          <w:bCs/>
          <w:sz w:val="20"/>
          <w:szCs w:val="20"/>
        </w:rPr>
        <w:t xml:space="preserve"> </w:t>
      </w:r>
      <w:r w:rsidR="0086413B">
        <w:rPr>
          <w:rFonts w:ascii="Arial" w:hAnsi="Arial" w:cs="Arial"/>
          <w:bCs/>
          <w:sz w:val="20"/>
          <w:szCs w:val="20"/>
        </w:rPr>
        <w:t xml:space="preserve">As a result, the so-called </w:t>
      </w:r>
      <w:r w:rsidR="00BA11CA">
        <w:rPr>
          <w:rFonts w:ascii="Arial" w:hAnsi="Arial" w:cs="Arial"/>
          <w:bCs/>
          <w:sz w:val="20"/>
          <w:szCs w:val="20"/>
        </w:rPr>
        <w:t xml:space="preserve">UL </w:t>
      </w:r>
      <w:r w:rsidR="0086413B">
        <w:rPr>
          <w:rFonts w:ascii="Arial" w:hAnsi="Arial" w:cs="Arial"/>
          <w:bCs/>
          <w:sz w:val="20"/>
          <w:szCs w:val="20"/>
        </w:rPr>
        <w:t xml:space="preserve">duty-cycle solution for SAR mitigation is only UE based, but not network based, and that also means </w:t>
      </w:r>
      <w:r w:rsidR="00516B1C">
        <w:rPr>
          <w:rFonts w:ascii="Arial" w:hAnsi="Arial" w:cs="Arial"/>
          <w:bCs/>
          <w:sz w:val="20"/>
          <w:szCs w:val="20"/>
        </w:rPr>
        <w:t>UE maximum UL duty cycle capability is self-contained.</w:t>
      </w:r>
      <w:r w:rsidR="0086413B">
        <w:rPr>
          <w:rFonts w:ascii="Arial" w:hAnsi="Arial" w:cs="Arial"/>
          <w:bCs/>
          <w:sz w:val="20"/>
          <w:szCs w:val="20"/>
        </w:rPr>
        <w:t xml:space="preserve">  </w:t>
      </w:r>
      <w:r w:rsidR="00F536E9">
        <w:rPr>
          <w:rFonts w:ascii="Arial" w:hAnsi="Arial" w:cs="Arial"/>
          <w:bCs/>
          <w:sz w:val="20"/>
          <w:szCs w:val="20"/>
        </w:rPr>
        <w:t xml:space="preserve">  </w:t>
      </w:r>
      <w:r w:rsidR="002804E1">
        <w:rPr>
          <w:rFonts w:ascii="Arial" w:hAnsi="Arial" w:cs="Arial"/>
          <w:bCs/>
          <w:sz w:val="20"/>
          <w:szCs w:val="20"/>
        </w:rPr>
        <w:t xml:space="preserve"> </w:t>
      </w:r>
      <w:r w:rsidR="00A35C73">
        <w:rPr>
          <w:rFonts w:ascii="Arial" w:hAnsi="Arial" w:cs="Arial"/>
          <w:bCs/>
          <w:sz w:val="20"/>
          <w:szCs w:val="20"/>
        </w:rPr>
        <w:t xml:space="preserve">  </w:t>
      </w:r>
      <w:r w:rsidR="007F2AE4">
        <w:rPr>
          <w:rFonts w:ascii="Arial" w:hAnsi="Arial" w:cs="Arial"/>
          <w:bCs/>
          <w:sz w:val="20"/>
          <w:szCs w:val="20"/>
        </w:rPr>
        <w:t xml:space="preserve">  </w:t>
      </w:r>
      <w:r w:rsidR="007F2AE4">
        <w:rPr>
          <w:rFonts w:ascii="Arial" w:hAnsi="Arial" w:cs="Arial"/>
          <w:bCs/>
          <w:i/>
          <w:iCs/>
          <w:sz w:val="20"/>
          <w:szCs w:val="20"/>
        </w:rPr>
        <w:t xml:space="preserve"> </w:t>
      </w:r>
      <w:r>
        <w:rPr>
          <w:rFonts w:ascii="Arial" w:hAnsi="Arial" w:cs="Arial"/>
          <w:bCs/>
          <w:sz w:val="20"/>
          <w:szCs w:val="20"/>
        </w:rPr>
        <w:t xml:space="preserve"> </w:t>
      </w:r>
    </w:p>
    <w:p w14:paraId="5D83CF45" w14:textId="77777777" w:rsidR="00EF3F4D" w:rsidRDefault="00EF3F4D" w:rsidP="00E7747C">
      <w:pPr>
        <w:jc w:val="both"/>
        <w:rPr>
          <w:rFonts w:ascii="Arial" w:hAnsi="Arial" w:cs="Arial"/>
          <w:bCs/>
          <w:sz w:val="20"/>
          <w:szCs w:val="20"/>
        </w:rPr>
      </w:pPr>
    </w:p>
    <w:p w14:paraId="3048AB50" w14:textId="249906F3" w:rsidR="00E7747C" w:rsidRDefault="00E7747C" w:rsidP="008C6C35">
      <w:pPr>
        <w:spacing w:after="120"/>
        <w:jc w:val="both"/>
        <w:rPr>
          <w:rFonts w:ascii="Arial" w:hAnsi="Arial" w:cs="Arial"/>
          <w:bCs/>
          <w:i/>
          <w:iCs/>
          <w:sz w:val="20"/>
          <w:szCs w:val="20"/>
        </w:rPr>
      </w:pPr>
      <w:r>
        <w:rPr>
          <w:rFonts w:ascii="Arial" w:hAnsi="Arial" w:cs="Arial"/>
          <w:b/>
          <w:i/>
          <w:iCs/>
          <w:sz w:val="20"/>
          <w:szCs w:val="20"/>
        </w:rPr>
        <w:t>Observation 4</w:t>
      </w:r>
      <w:r>
        <w:rPr>
          <w:rFonts w:ascii="Arial" w:hAnsi="Arial" w:cs="Arial"/>
          <w:bCs/>
          <w:i/>
          <w:iCs/>
          <w:sz w:val="20"/>
          <w:szCs w:val="20"/>
        </w:rPr>
        <w:t>: I</w:t>
      </w:r>
      <w:r w:rsidRPr="00E7747C">
        <w:rPr>
          <w:rFonts w:ascii="Arial" w:hAnsi="Arial" w:cs="Arial"/>
          <w:bCs/>
          <w:i/>
          <w:iCs/>
          <w:sz w:val="20"/>
          <w:szCs w:val="20"/>
        </w:rPr>
        <w:t>f network has to accommodate different UEs with different maximum UL duty cycle capabilities, it may heavily constrain network’s scheduling flexibility</w:t>
      </w:r>
      <w:r>
        <w:rPr>
          <w:rFonts w:ascii="Arial" w:hAnsi="Arial" w:cs="Arial"/>
          <w:bCs/>
          <w:i/>
          <w:iCs/>
          <w:sz w:val="20"/>
          <w:szCs w:val="20"/>
        </w:rPr>
        <w:t>.</w:t>
      </w:r>
    </w:p>
    <w:p w14:paraId="622DC792" w14:textId="77777777" w:rsidR="00E7747C" w:rsidRPr="00E7747C" w:rsidRDefault="00E7747C" w:rsidP="00E7747C">
      <w:pPr>
        <w:jc w:val="both"/>
        <w:rPr>
          <w:rFonts w:ascii="Arial" w:hAnsi="Arial" w:cs="Arial"/>
          <w:bCs/>
          <w:sz w:val="20"/>
          <w:szCs w:val="20"/>
        </w:rPr>
      </w:pPr>
    </w:p>
    <w:p w14:paraId="7991F6EA" w14:textId="7CCFDAB1" w:rsidR="00E7747C" w:rsidRDefault="00E7747C" w:rsidP="008C6C35">
      <w:pPr>
        <w:spacing w:after="120"/>
        <w:jc w:val="both"/>
        <w:rPr>
          <w:rFonts w:ascii="Arial" w:hAnsi="Arial" w:cs="Arial"/>
          <w:bCs/>
          <w:i/>
          <w:iCs/>
          <w:sz w:val="20"/>
          <w:szCs w:val="20"/>
        </w:rPr>
      </w:pPr>
      <w:r>
        <w:rPr>
          <w:rFonts w:ascii="Arial" w:hAnsi="Arial" w:cs="Arial"/>
          <w:b/>
          <w:i/>
          <w:iCs/>
          <w:sz w:val="20"/>
          <w:szCs w:val="20"/>
        </w:rPr>
        <w:t>Observation 5</w:t>
      </w:r>
      <w:r>
        <w:rPr>
          <w:rFonts w:ascii="Arial" w:hAnsi="Arial" w:cs="Arial"/>
          <w:bCs/>
          <w:i/>
          <w:iCs/>
          <w:sz w:val="20"/>
          <w:szCs w:val="20"/>
        </w:rPr>
        <w:t xml:space="preserve">: </w:t>
      </w:r>
      <w:r w:rsidRPr="00E7747C">
        <w:rPr>
          <w:rFonts w:ascii="Arial" w:hAnsi="Arial" w:cs="Arial"/>
          <w:bCs/>
          <w:i/>
          <w:iCs/>
          <w:sz w:val="20"/>
          <w:szCs w:val="20"/>
        </w:rPr>
        <w:t>UE maximum UL duty cycle capability has never been considered in network for UL scheduling</w:t>
      </w:r>
      <w:r>
        <w:rPr>
          <w:rFonts w:ascii="Arial" w:hAnsi="Arial" w:cs="Arial"/>
          <w:bCs/>
          <w:i/>
          <w:iCs/>
          <w:sz w:val="20"/>
          <w:szCs w:val="20"/>
        </w:rPr>
        <w:t xml:space="preserve"> to assist UE on mitigating SAR issue.</w:t>
      </w:r>
    </w:p>
    <w:p w14:paraId="2996A924" w14:textId="77777777" w:rsidR="00E7747C" w:rsidRPr="00E7747C" w:rsidRDefault="00E7747C" w:rsidP="00E7747C">
      <w:pPr>
        <w:jc w:val="both"/>
        <w:rPr>
          <w:rFonts w:ascii="Arial" w:hAnsi="Arial" w:cs="Arial"/>
          <w:bCs/>
          <w:sz w:val="20"/>
          <w:szCs w:val="20"/>
        </w:rPr>
      </w:pPr>
    </w:p>
    <w:p w14:paraId="1D7652AB" w14:textId="03B019A3" w:rsidR="00E7747C" w:rsidRDefault="00E7747C" w:rsidP="008C6C35">
      <w:pPr>
        <w:spacing w:after="120"/>
        <w:jc w:val="both"/>
        <w:rPr>
          <w:rFonts w:ascii="Arial" w:hAnsi="Arial" w:cs="Arial"/>
          <w:bCs/>
          <w:sz w:val="20"/>
          <w:szCs w:val="20"/>
        </w:rPr>
      </w:pPr>
      <w:r>
        <w:rPr>
          <w:rFonts w:ascii="Arial" w:hAnsi="Arial" w:cs="Arial"/>
          <w:b/>
          <w:i/>
          <w:iCs/>
          <w:sz w:val="20"/>
          <w:szCs w:val="20"/>
        </w:rPr>
        <w:t xml:space="preserve">Observation </w:t>
      </w:r>
      <w:r w:rsidR="00BA11CA">
        <w:rPr>
          <w:rFonts w:ascii="Arial" w:hAnsi="Arial" w:cs="Arial"/>
          <w:b/>
          <w:i/>
          <w:iCs/>
          <w:sz w:val="20"/>
          <w:szCs w:val="20"/>
        </w:rPr>
        <w:t>6</w:t>
      </w:r>
      <w:r>
        <w:rPr>
          <w:rFonts w:ascii="Arial" w:hAnsi="Arial" w:cs="Arial"/>
          <w:bCs/>
          <w:i/>
          <w:iCs/>
          <w:sz w:val="20"/>
          <w:szCs w:val="20"/>
        </w:rPr>
        <w:t xml:space="preserve">: </w:t>
      </w:r>
      <w:r w:rsidR="00BA11CA">
        <w:rPr>
          <w:rFonts w:ascii="Arial" w:hAnsi="Arial" w:cs="Arial"/>
          <w:bCs/>
          <w:i/>
          <w:iCs/>
          <w:sz w:val="20"/>
          <w:szCs w:val="20"/>
        </w:rPr>
        <w:t>T</w:t>
      </w:r>
      <w:r w:rsidR="00BA11CA" w:rsidRPr="00BA11CA">
        <w:rPr>
          <w:rFonts w:ascii="Arial" w:hAnsi="Arial" w:cs="Arial"/>
          <w:bCs/>
          <w:i/>
          <w:iCs/>
          <w:sz w:val="20"/>
          <w:szCs w:val="20"/>
        </w:rPr>
        <w:t>he so-called UL duty-cycle solution for SAR mitigation is only UE based</w:t>
      </w:r>
      <w:r w:rsidR="00BA11CA">
        <w:rPr>
          <w:rFonts w:ascii="Arial" w:hAnsi="Arial" w:cs="Arial"/>
          <w:bCs/>
          <w:i/>
          <w:iCs/>
          <w:sz w:val="20"/>
          <w:szCs w:val="20"/>
        </w:rPr>
        <w:t xml:space="preserve">, </w:t>
      </w:r>
      <w:r w:rsidR="00BA11CA" w:rsidRPr="00BA11CA">
        <w:rPr>
          <w:rFonts w:ascii="Arial" w:hAnsi="Arial" w:cs="Arial"/>
          <w:bCs/>
          <w:i/>
          <w:iCs/>
          <w:sz w:val="20"/>
          <w:szCs w:val="20"/>
        </w:rPr>
        <w:t>but not network based</w:t>
      </w:r>
      <w:r w:rsidR="00BA11CA">
        <w:rPr>
          <w:rFonts w:ascii="Arial" w:hAnsi="Arial" w:cs="Arial"/>
          <w:bCs/>
          <w:i/>
          <w:iCs/>
          <w:sz w:val="20"/>
          <w:szCs w:val="20"/>
        </w:rPr>
        <w:t xml:space="preserve">. </w:t>
      </w:r>
    </w:p>
    <w:p w14:paraId="3487896B" w14:textId="77777777" w:rsidR="00E7747C" w:rsidRDefault="00E7747C" w:rsidP="00E7747C">
      <w:pPr>
        <w:jc w:val="both"/>
        <w:rPr>
          <w:rFonts w:ascii="Arial" w:hAnsi="Arial" w:cs="Arial"/>
          <w:bCs/>
          <w:sz w:val="20"/>
          <w:szCs w:val="20"/>
        </w:rPr>
      </w:pPr>
    </w:p>
    <w:p w14:paraId="6665E6C7" w14:textId="5572E9FE" w:rsidR="00596836" w:rsidRDefault="00516B1C" w:rsidP="008C6C35">
      <w:pPr>
        <w:spacing w:after="120"/>
        <w:jc w:val="both"/>
        <w:rPr>
          <w:rFonts w:ascii="Arial" w:hAnsi="Arial" w:cs="Arial"/>
          <w:sz w:val="20"/>
          <w:szCs w:val="20"/>
        </w:rPr>
      </w:pPr>
      <w:r>
        <w:rPr>
          <w:rFonts w:ascii="Arial" w:hAnsi="Arial" w:cs="Arial"/>
          <w:bCs/>
          <w:sz w:val="20"/>
          <w:szCs w:val="20"/>
        </w:rPr>
        <w:t>The UE based</w:t>
      </w:r>
      <w:r w:rsidR="00F70628">
        <w:rPr>
          <w:rFonts w:ascii="Arial" w:hAnsi="Arial" w:cs="Arial"/>
          <w:bCs/>
          <w:sz w:val="20"/>
          <w:szCs w:val="20"/>
        </w:rPr>
        <w:t xml:space="preserve"> </w:t>
      </w:r>
      <w:r w:rsidR="00644EC4">
        <w:rPr>
          <w:rFonts w:ascii="Arial" w:hAnsi="Arial" w:cs="Arial"/>
          <w:bCs/>
          <w:sz w:val="20"/>
          <w:szCs w:val="20"/>
        </w:rPr>
        <w:t xml:space="preserve">UL </w:t>
      </w:r>
      <w:r w:rsidR="00F70628">
        <w:rPr>
          <w:rFonts w:ascii="Arial" w:hAnsi="Arial" w:cs="Arial"/>
          <w:bCs/>
          <w:sz w:val="20"/>
          <w:szCs w:val="20"/>
        </w:rPr>
        <w:t xml:space="preserve">duty-cycle solution </w:t>
      </w:r>
      <w:r>
        <w:rPr>
          <w:rFonts w:ascii="Arial" w:hAnsi="Arial" w:cs="Arial"/>
          <w:bCs/>
          <w:sz w:val="20"/>
          <w:szCs w:val="20"/>
        </w:rPr>
        <w:t>as explicitly defined in current RAN4 specifications is</w:t>
      </w:r>
      <w:r w:rsidR="00F70628">
        <w:rPr>
          <w:rFonts w:ascii="Arial" w:hAnsi="Arial" w:cs="Arial"/>
          <w:bCs/>
          <w:sz w:val="20"/>
          <w:szCs w:val="20"/>
        </w:rPr>
        <w:t xml:space="preserve"> associated with </w:t>
      </w:r>
      <w:r w:rsidR="00644EC4">
        <w:rPr>
          <w:rFonts w:ascii="Arial" w:hAnsi="Arial" w:cs="Arial"/>
          <w:bCs/>
          <w:sz w:val="20"/>
          <w:szCs w:val="20"/>
        </w:rPr>
        <w:t xml:space="preserve">a </w:t>
      </w:r>
      <w:r w:rsidR="00F70628">
        <w:rPr>
          <w:rFonts w:ascii="Arial" w:hAnsi="Arial" w:cs="Arial"/>
          <w:bCs/>
          <w:sz w:val="20"/>
          <w:szCs w:val="20"/>
        </w:rPr>
        <w:t xml:space="preserve">power reduction term, called </w:t>
      </w:r>
      <w:r w:rsidR="00F70628">
        <w:rPr>
          <w:rFonts w:ascii="Arial" w:hAnsi="Arial" w:cs="Arial"/>
          <w:sz w:val="20"/>
          <w:szCs w:val="20"/>
        </w:rPr>
        <w:t>ΔP</w:t>
      </w:r>
      <w:r w:rsidR="00F70628" w:rsidRPr="00814317">
        <w:rPr>
          <w:rFonts w:ascii="Arial" w:hAnsi="Arial" w:cs="Arial"/>
          <w:sz w:val="20"/>
          <w:szCs w:val="20"/>
          <w:vertAlign w:val="subscript"/>
        </w:rPr>
        <w:t>PowerClass</w:t>
      </w:r>
      <w:r w:rsidR="00F70628">
        <w:rPr>
          <w:rFonts w:ascii="Arial" w:hAnsi="Arial" w:cs="Arial"/>
          <w:sz w:val="20"/>
          <w:szCs w:val="20"/>
        </w:rPr>
        <w:t xml:space="preserve">, which can only be 3dB or 6dB. For PC2 UE, when UL duty cycle exceeds the maximum limit, let’s say 50%, the UE configured maximum output power would be reduced by 3dB. Similarly, for PC1.5 UE, when UL duty cycle exceeds the maximum limit, let’s say </w:t>
      </w:r>
      <w:r w:rsidR="00596836">
        <w:rPr>
          <w:rFonts w:ascii="Arial" w:hAnsi="Arial" w:cs="Arial"/>
          <w:sz w:val="20"/>
          <w:szCs w:val="20"/>
        </w:rPr>
        <w:t xml:space="preserve">also </w:t>
      </w:r>
      <w:r w:rsidR="00F70628">
        <w:rPr>
          <w:rFonts w:ascii="Arial" w:hAnsi="Arial" w:cs="Arial"/>
          <w:sz w:val="20"/>
          <w:szCs w:val="20"/>
        </w:rPr>
        <w:t xml:space="preserve">50%, the UE configured maximum output power would be reduced by 6dB. </w:t>
      </w:r>
      <w:r>
        <w:rPr>
          <w:rFonts w:ascii="Arial" w:hAnsi="Arial" w:cs="Arial"/>
          <w:sz w:val="20"/>
          <w:szCs w:val="20"/>
        </w:rPr>
        <w:t xml:space="preserve">In our view, this solution is only a subset of P-MPR solution, as is shown in Table 2-1 where the </w:t>
      </w:r>
      <w:r w:rsidR="00502A06">
        <w:rPr>
          <w:rFonts w:ascii="Arial" w:hAnsi="Arial" w:cs="Arial"/>
          <w:sz w:val="20"/>
          <w:szCs w:val="20"/>
        </w:rPr>
        <w:t>power reduction level versus UL duty cycle is compared between the two solutions for a PC2 UE.</w:t>
      </w:r>
    </w:p>
    <w:p w14:paraId="27605112" w14:textId="77777777" w:rsidR="00502A06" w:rsidRDefault="00502A06" w:rsidP="00502A06">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160"/>
        <w:gridCol w:w="1872"/>
        <w:gridCol w:w="1872"/>
      </w:tblGrid>
      <w:tr w:rsidR="00502A06" w14:paraId="2E6E3CA4" w14:textId="77777777" w:rsidTr="007B0783">
        <w:trPr>
          <w:trHeight w:val="288"/>
          <w:jc w:val="center"/>
        </w:trPr>
        <w:tc>
          <w:tcPr>
            <w:tcW w:w="2160" w:type="dxa"/>
            <w:vAlign w:val="center"/>
          </w:tcPr>
          <w:p w14:paraId="200EF2D5" w14:textId="40FD765B" w:rsidR="00502A06" w:rsidRDefault="00502A06" w:rsidP="00502A06">
            <w:pPr>
              <w:jc w:val="center"/>
              <w:rPr>
                <w:rFonts w:ascii="Arial" w:hAnsi="Arial" w:cs="Arial"/>
                <w:sz w:val="20"/>
                <w:szCs w:val="20"/>
              </w:rPr>
            </w:pPr>
            <w:r>
              <w:rPr>
                <w:rFonts w:ascii="Arial" w:hAnsi="Arial" w:cs="Arial"/>
                <w:sz w:val="20"/>
                <w:szCs w:val="20"/>
              </w:rPr>
              <w:t>UL Duty Cycle (%)</w:t>
            </w:r>
          </w:p>
        </w:tc>
        <w:tc>
          <w:tcPr>
            <w:tcW w:w="1872" w:type="dxa"/>
            <w:vAlign w:val="center"/>
          </w:tcPr>
          <w:p w14:paraId="78869A29" w14:textId="502AA4EF" w:rsidR="00502A06" w:rsidRPr="00502A06" w:rsidRDefault="00502A06" w:rsidP="00502A06">
            <w:pPr>
              <w:jc w:val="center"/>
              <w:rPr>
                <w:rFonts w:ascii="Arial" w:hAnsi="Arial" w:cs="Arial"/>
                <w:sz w:val="20"/>
                <w:szCs w:val="20"/>
              </w:rPr>
            </w:pPr>
            <w:r>
              <w:rPr>
                <w:rFonts w:ascii="Arial" w:hAnsi="Arial" w:cs="Arial"/>
                <w:sz w:val="20"/>
                <w:szCs w:val="20"/>
              </w:rPr>
              <w:t>ΔP</w:t>
            </w:r>
            <w:r w:rsidRPr="00814317">
              <w:rPr>
                <w:rFonts w:ascii="Arial" w:hAnsi="Arial" w:cs="Arial"/>
                <w:sz w:val="20"/>
                <w:szCs w:val="20"/>
                <w:vertAlign w:val="subscript"/>
              </w:rPr>
              <w:t>PowerClass</w:t>
            </w:r>
            <w:r>
              <w:rPr>
                <w:rFonts w:ascii="Arial" w:hAnsi="Arial" w:cs="Arial"/>
                <w:sz w:val="20"/>
                <w:szCs w:val="20"/>
              </w:rPr>
              <w:t xml:space="preserve"> (dB)</w:t>
            </w:r>
          </w:p>
        </w:tc>
        <w:tc>
          <w:tcPr>
            <w:tcW w:w="1872" w:type="dxa"/>
            <w:vAlign w:val="center"/>
          </w:tcPr>
          <w:p w14:paraId="5ED50D5B" w14:textId="6D3D1FE5" w:rsidR="00502A06" w:rsidRDefault="00502A06" w:rsidP="00502A06">
            <w:pPr>
              <w:jc w:val="center"/>
              <w:rPr>
                <w:rFonts w:ascii="Arial" w:hAnsi="Arial" w:cs="Arial"/>
                <w:sz w:val="20"/>
                <w:szCs w:val="20"/>
              </w:rPr>
            </w:pPr>
            <w:r>
              <w:rPr>
                <w:rFonts w:ascii="Arial" w:hAnsi="Arial" w:cs="Arial"/>
                <w:sz w:val="20"/>
                <w:szCs w:val="20"/>
              </w:rPr>
              <w:t>P-MPR (dB)</w:t>
            </w:r>
          </w:p>
        </w:tc>
      </w:tr>
      <w:tr w:rsidR="00502A06" w14:paraId="744990AE" w14:textId="77777777" w:rsidTr="007B0783">
        <w:trPr>
          <w:trHeight w:val="288"/>
          <w:jc w:val="center"/>
        </w:trPr>
        <w:tc>
          <w:tcPr>
            <w:tcW w:w="2160" w:type="dxa"/>
            <w:vAlign w:val="center"/>
          </w:tcPr>
          <w:p w14:paraId="56193E96" w14:textId="4B5DB034" w:rsidR="00502A06" w:rsidRDefault="00502A06" w:rsidP="00502A06">
            <w:pPr>
              <w:jc w:val="center"/>
              <w:rPr>
                <w:rFonts w:ascii="Arial" w:hAnsi="Arial" w:cs="Arial"/>
                <w:sz w:val="20"/>
                <w:szCs w:val="20"/>
              </w:rPr>
            </w:pPr>
            <w:r>
              <w:rPr>
                <w:rFonts w:ascii="Arial" w:hAnsi="Arial" w:cs="Arial"/>
                <w:sz w:val="20"/>
                <w:szCs w:val="20"/>
              </w:rPr>
              <w:t>100</w:t>
            </w:r>
          </w:p>
        </w:tc>
        <w:tc>
          <w:tcPr>
            <w:tcW w:w="1872" w:type="dxa"/>
            <w:vAlign w:val="center"/>
          </w:tcPr>
          <w:p w14:paraId="2182E69F" w14:textId="0291A603" w:rsidR="00502A06" w:rsidRDefault="00502A06" w:rsidP="00502A06">
            <w:pPr>
              <w:jc w:val="center"/>
              <w:rPr>
                <w:rFonts w:ascii="Arial" w:hAnsi="Arial" w:cs="Arial"/>
                <w:sz w:val="20"/>
                <w:szCs w:val="20"/>
              </w:rPr>
            </w:pPr>
            <w:r>
              <w:rPr>
                <w:rFonts w:ascii="Arial" w:hAnsi="Arial" w:cs="Arial"/>
                <w:sz w:val="20"/>
                <w:szCs w:val="20"/>
              </w:rPr>
              <w:t>3</w:t>
            </w:r>
          </w:p>
        </w:tc>
        <w:tc>
          <w:tcPr>
            <w:tcW w:w="1872" w:type="dxa"/>
            <w:vAlign w:val="center"/>
          </w:tcPr>
          <w:p w14:paraId="35D62B58" w14:textId="5B467467" w:rsidR="00502A06" w:rsidRDefault="007B0783" w:rsidP="00502A06">
            <w:pPr>
              <w:jc w:val="center"/>
              <w:rPr>
                <w:rFonts w:ascii="Arial" w:hAnsi="Arial" w:cs="Arial"/>
                <w:sz w:val="20"/>
                <w:szCs w:val="20"/>
              </w:rPr>
            </w:pPr>
            <w:r>
              <w:rPr>
                <w:rFonts w:ascii="Arial" w:hAnsi="Arial" w:cs="Arial"/>
                <w:sz w:val="20"/>
                <w:szCs w:val="20"/>
              </w:rPr>
              <w:t>3.0</w:t>
            </w:r>
          </w:p>
        </w:tc>
      </w:tr>
      <w:tr w:rsidR="00502A06" w14:paraId="467383E1" w14:textId="77777777" w:rsidTr="007B0783">
        <w:trPr>
          <w:trHeight w:val="288"/>
          <w:jc w:val="center"/>
        </w:trPr>
        <w:tc>
          <w:tcPr>
            <w:tcW w:w="2160" w:type="dxa"/>
            <w:vAlign w:val="center"/>
          </w:tcPr>
          <w:p w14:paraId="45404884" w14:textId="279411B9" w:rsidR="00502A06" w:rsidRDefault="00502A06" w:rsidP="00502A06">
            <w:pPr>
              <w:jc w:val="center"/>
              <w:rPr>
                <w:rFonts w:ascii="Arial" w:hAnsi="Arial" w:cs="Arial"/>
                <w:sz w:val="20"/>
                <w:szCs w:val="20"/>
              </w:rPr>
            </w:pPr>
            <w:r>
              <w:rPr>
                <w:rFonts w:ascii="Arial" w:hAnsi="Arial" w:cs="Arial"/>
                <w:sz w:val="20"/>
                <w:szCs w:val="20"/>
              </w:rPr>
              <w:t>90</w:t>
            </w:r>
          </w:p>
        </w:tc>
        <w:tc>
          <w:tcPr>
            <w:tcW w:w="1872" w:type="dxa"/>
            <w:vAlign w:val="center"/>
          </w:tcPr>
          <w:p w14:paraId="4E2AB99B" w14:textId="289A6D99" w:rsidR="00502A06" w:rsidRDefault="00502A06" w:rsidP="00502A06">
            <w:pPr>
              <w:jc w:val="center"/>
              <w:rPr>
                <w:rFonts w:ascii="Arial" w:hAnsi="Arial" w:cs="Arial"/>
                <w:sz w:val="20"/>
                <w:szCs w:val="20"/>
              </w:rPr>
            </w:pPr>
            <w:r>
              <w:rPr>
                <w:rFonts w:ascii="Arial" w:hAnsi="Arial" w:cs="Arial"/>
                <w:sz w:val="20"/>
                <w:szCs w:val="20"/>
              </w:rPr>
              <w:t>3</w:t>
            </w:r>
          </w:p>
        </w:tc>
        <w:tc>
          <w:tcPr>
            <w:tcW w:w="1872" w:type="dxa"/>
            <w:vAlign w:val="center"/>
          </w:tcPr>
          <w:p w14:paraId="581F5E5A" w14:textId="24247BBC" w:rsidR="00502A06" w:rsidRDefault="007B0783" w:rsidP="00502A06">
            <w:pPr>
              <w:jc w:val="center"/>
              <w:rPr>
                <w:rFonts w:ascii="Arial" w:hAnsi="Arial" w:cs="Arial"/>
                <w:sz w:val="20"/>
                <w:szCs w:val="20"/>
              </w:rPr>
            </w:pPr>
            <w:r>
              <w:rPr>
                <w:rFonts w:ascii="Arial" w:hAnsi="Arial" w:cs="Arial"/>
                <w:sz w:val="20"/>
                <w:szCs w:val="20"/>
              </w:rPr>
              <w:t>2.5</w:t>
            </w:r>
          </w:p>
        </w:tc>
      </w:tr>
      <w:tr w:rsidR="00502A06" w14:paraId="52EA8BB5" w14:textId="77777777" w:rsidTr="007B0783">
        <w:trPr>
          <w:trHeight w:val="288"/>
          <w:jc w:val="center"/>
        </w:trPr>
        <w:tc>
          <w:tcPr>
            <w:tcW w:w="2160" w:type="dxa"/>
            <w:vAlign w:val="center"/>
          </w:tcPr>
          <w:p w14:paraId="589718C4" w14:textId="0DBAA895" w:rsidR="00502A06" w:rsidRDefault="00502A06" w:rsidP="00502A06">
            <w:pPr>
              <w:jc w:val="center"/>
              <w:rPr>
                <w:rFonts w:ascii="Arial" w:hAnsi="Arial" w:cs="Arial"/>
                <w:sz w:val="20"/>
                <w:szCs w:val="20"/>
              </w:rPr>
            </w:pPr>
            <w:r>
              <w:rPr>
                <w:rFonts w:ascii="Arial" w:hAnsi="Arial" w:cs="Arial"/>
                <w:sz w:val="20"/>
                <w:szCs w:val="20"/>
              </w:rPr>
              <w:t>80</w:t>
            </w:r>
          </w:p>
        </w:tc>
        <w:tc>
          <w:tcPr>
            <w:tcW w:w="1872" w:type="dxa"/>
            <w:vAlign w:val="center"/>
          </w:tcPr>
          <w:p w14:paraId="379E02BA" w14:textId="476B5C61" w:rsidR="00502A06" w:rsidRDefault="00502A06" w:rsidP="00502A06">
            <w:pPr>
              <w:jc w:val="center"/>
              <w:rPr>
                <w:rFonts w:ascii="Arial" w:hAnsi="Arial" w:cs="Arial"/>
                <w:sz w:val="20"/>
                <w:szCs w:val="20"/>
              </w:rPr>
            </w:pPr>
            <w:r>
              <w:rPr>
                <w:rFonts w:ascii="Arial" w:hAnsi="Arial" w:cs="Arial"/>
                <w:sz w:val="20"/>
                <w:szCs w:val="20"/>
              </w:rPr>
              <w:t>3</w:t>
            </w:r>
          </w:p>
        </w:tc>
        <w:tc>
          <w:tcPr>
            <w:tcW w:w="1872" w:type="dxa"/>
            <w:vAlign w:val="center"/>
          </w:tcPr>
          <w:p w14:paraId="43DB6626" w14:textId="383A7981" w:rsidR="00502A06" w:rsidRDefault="007B0783" w:rsidP="00502A06">
            <w:pPr>
              <w:jc w:val="center"/>
              <w:rPr>
                <w:rFonts w:ascii="Arial" w:hAnsi="Arial" w:cs="Arial"/>
                <w:sz w:val="20"/>
                <w:szCs w:val="20"/>
              </w:rPr>
            </w:pPr>
            <w:r>
              <w:rPr>
                <w:rFonts w:ascii="Arial" w:hAnsi="Arial" w:cs="Arial"/>
                <w:sz w:val="20"/>
                <w:szCs w:val="20"/>
              </w:rPr>
              <w:t>2.0</w:t>
            </w:r>
          </w:p>
        </w:tc>
      </w:tr>
      <w:tr w:rsidR="00502A06" w14:paraId="63F0A6C5" w14:textId="77777777" w:rsidTr="007B0783">
        <w:trPr>
          <w:trHeight w:val="288"/>
          <w:jc w:val="center"/>
        </w:trPr>
        <w:tc>
          <w:tcPr>
            <w:tcW w:w="2160" w:type="dxa"/>
            <w:vAlign w:val="center"/>
          </w:tcPr>
          <w:p w14:paraId="0AFE78AC" w14:textId="196628FF" w:rsidR="00502A06" w:rsidRDefault="00502A06" w:rsidP="00502A06">
            <w:pPr>
              <w:jc w:val="center"/>
              <w:rPr>
                <w:rFonts w:ascii="Arial" w:hAnsi="Arial" w:cs="Arial"/>
                <w:sz w:val="20"/>
                <w:szCs w:val="20"/>
              </w:rPr>
            </w:pPr>
            <w:r>
              <w:rPr>
                <w:rFonts w:ascii="Arial" w:hAnsi="Arial" w:cs="Arial"/>
                <w:sz w:val="20"/>
                <w:szCs w:val="20"/>
              </w:rPr>
              <w:t>70</w:t>
            </w:r>
          </w:p>
        </w:tc>
        <w:tc>
          <w:tcPr>
            <w:tcW w:w="1872" w:type="dxa"/>
            <w:vAlign w:val="center"/>
          </w:tcPr>
          <w:p w14:paraId="5F6810C2" w14:textId="7CC3BEE4" w:rsidR="00502A06" w:rsidRDefault="00502A06" w:rsidP="00502A06">
            <w:pPr>
              <w:jc w:val="center"/>
              <w:rPr>
                <w:rFonts w:ascii="Arial" w:hAnsi="Arial" w:cs="Arial"/>
                <w:sz w:val="20"/>
                <w:szCs w:val="20"/>
              </w:rPr>
            </w:pPr>
            <w:r>
              <w:rPr>
                <w:rFonts w:ascii="Arial" w:hAnsi="Arial" w:cs="Arial"/>
                <w:sz w:val="20"/>
                <w:szCs w:val="20"/>
              </w:rPr>
              <w:t>3</w:t>
            </w:r>
          </w:p>
        </w:tc>
        <w:tc>
          <w:tcPr>
            <w:tcW w:w="1872" w:type="dxa"/>
            <w:vAlign w:val="center"/>
          </w:tcPr>
          <w:p w14:paraId="3657DE1C" w14:textId="38423DED" w:rsidR="00502A06" w:rsidRDefault="007B0783" w:rsidP="00502A06">
            <w:pPr>
              <w:jc w:val="center"/>
              <w:rPr>
                <w:rFonts w:ascii="Arial" w:hAnsi="Arial" w:cs="Arial"/>
                <w:sz w:val="20"/>
                <w:szCs w:val="20"/>
              </w:rPr>
            </w:pPr>
            <w:r>
              <w:rPr>
                <w:rFonts w:ascii="Arial" w:hAnsi="Arial" w:cs="Arial"/>
                <w:sz w:val="20"/>
                <w:szCs w:val="20"/>
              </w:rPr>
              <w:t>1.5</w:t>
            </w:r>
          </w:p>
        </w:tc>
      </w:tr>
      <w:tr w:rsidR="00502A06" w14:paraId="3716A6CC" w14:textId="77777777" w:rsidTr="007B0783">
        <w:trPr>
          <w:trHeight w:val="288"/>
          <w:jc w:val="center"/>
        </w:trPr>
        <w:tc>
          <w:tcPr>
            <w:tcW w:w="2160" w:type="dxa"/>
            <w:vAlign w:val="center"/>
          </w:tcPr>
          <w:p w14:paraId="223AC22A" w14:textId="4436E419" w:rsidR="00502A06" w:rsidRDefault="00502A06" w:rsidP="00502A06">
            <w:pPr>
              <w:jc w:val="center"/>
              <w:rPr>
                <w:rFonts w:ascii="Arial" w:hAnsi="Arial" w:cs="Arial"/>
                <w:sz w:val="20"/>
                <w:szCs w:val="20"/>
              </w:rPr>
            </w:pPr>
            <w:r>
              <w:rPr>
                <w:rFonts w:ascii="Arial" w:hAnsi="Arial" w:cs="Arial"/>
                <w:sz w:val="20"/>
                <w:szCs w:val="20"/>
              </w:rPr>
              <w:t>60</w:t>
            </w:r>
          </w:p>
        </w:tc>
        <w:tc>
          <w:tcPr>
            <w:tcW w:w="1872" w:type="dxa"/>
            <w:vAlign w:val="center"/>
          </w:tcPr>
          <w:p w14:paraId="43377CA1" w14:textId="7C7F1FDE" w:rsidR="00502A06" w:rsidRDefault="00502A06" w:rsidP="00502A06">
            <w:pPr>
              <w:jc w:val="center"/>
              <w:rPr>
                <w:rFonts w:ascii="Arial" w:hAnsi="Arial" w:cs="Arial"/>
                <w:sz w:val="20"/>
                <w:szCs w:val="20"/>
              </w:rPr>
            </w:pPr>
            <w:r>
              <w:rPr>
                <w:rFonts w:ascii="Arial" w:hAnsi="Arial" w:cs="Arial"/>
                <w:sz w:val="20"/>
                <w:szCs w:val="20"/>
              </w:rPr>
              <w:t>3</w:t>
            </w:r>
          </w:p>
        </w:tc>
        <w:tc>
          <w:tcPr>
            <w:tcW w:w="1872" w:type="dxa"/>
            <w:vAlign w:val="center"/>
          </w:tcPr>
          <w:p w14:paraId="42B50F3E" w14:textId="7391C1EF" w:rsidR="00502A06" w:rsidRDefault="007B0783" w:rsidP="00502A06">
            <w:pPr>
              <w:jc w:val="center"/>
              <w:rPr>
                <w:rFonts w:ascii="Arial" w:hAnsi="Arial" w:cs="Arial"/>
                <w:sz w:val="20"/>
                <w:szCs w:val="20"/>
              </w:rPr>
            </w:pPr>
            <w:r>
              <w:rPr>
                <w:rFonts w:ascii="Arial" w:hAnsi="Arial" w:cs="Arial"/>
                <w:sz w:val="20"/>
                <w:szCs w:val="20"/>
              </w:rPr>
              <w:t>0.8</w:t>
            </w:r>
          </w:p>
        </w:tc>
      </w:tr>
      <w:tr w:rsidR="00502A06" w14:paraId="583C7A82" w14:textId="77777777" w:rsidTr="007B0783">
        <w:trPr>
          <w:trHeight w:val="288"/>
          <w:jc w:val="center"/>
        </w:trPr>
        <w:tc>
          <w:tcPr>
            <w:tcW w:w="2160" w:type="dxa"/>
            <w:vAlign w:val="center"/>
          </w:tcPr>
          <w:p w14:paraId="7B09C1D0" w14:textId="18626957" w:rsidR="00502A06" w:rsidRDefault="00502A06" w:rsidP="00502A06">
            <w:pPr>
              <w:jc w:val="center"/>
              <w:rPr>
                <w:rFonts w:ascii="Arial" w:hAnsi="Arial" w:cs="Arial"/>
                <w:sz w:val="20"/>
                <w:szCs w:val="20"/>
              </w:rPr>
            </w:pPr>
            <w:r>
              <w:rPr>
                <w:rFonts w:ascii="Arial" w:hAnsi="Arial" w:cs="Arial"/>
                <w:sz w:val="20"/>
                <w:szCs w:val="20"/>
              </w:rPr>
              <w:t>50</w:t>
            </w:r>
          </w:p>
        </w:tc>
        <w:tc>
          <w:tcPr>
            <w:tcW w:w="1872" w:type="dxa"/>
            <w:vAlign w:val="center"/>
          </w:tcPr>
          <w:p w14:paraId="405D435F" w14:textId="55DB65F9" w:rsidR="00502A06" w:rsidRDefault="00502A06" w:rsidP="00502A06">
            <w:pPr>
              <w:jc w:val="center"/>
              <w:rPr>
                <w:rFonts w:ascii="Arial" w:hAnsi="Arial" w:cs="Arial"/>
                <w:sz w:val="20"/>
                <w:szCs w:val="20"/>
              </w:rPr>
            </w:pPr>
            <w:r>
              <w:rPr>
                <w:rFonts w:ascii="Arial" w:hAnsi="Arial" w:cs="Arial"/>
                <w:sz w:val="20"/>
                <w:szCs w:val="20"/>
              </w:rPr>
              <w:t>0</w:t>
            </w:r>
          </w:p>
        </w:tc>
        <w:tc>
          <w:tcPr>
            <w:tcW w:w="1872" w:type="dxa"/>
            <w:vAlign w:val="center"/>
          </w:tcPr>
          <w:p w14:paraId="54EE6243" w14:textId="39C9D96C" w:rsidR="00502A06" w:rsidRDefault="007B0783" w:rsidP="00502A06">
            <w:pPr>
              <w:jc w:val="center"/>
              <w:rPr>
                <w:rFonts w:ascii="Arial" w:hAnsi="Arial" w:cs="Arial"/>
                <w:sz w:val="20"/>
                <w:szCs w:val="20"/>
              </w:rPr>
            </w:pPr>
            <w:r>
              <w:rPr>
                <w:rFonts w:ascii="Arial" w:hAnsi="Arial" w:cs="Arial"/>
                <w:sz w:val="20"/>
                <w:szCs w:val="20"/>
              </w:rPr>
              <w:t>0</w:t>
            </w:r>
          </w:p>
        </w:tc>
      </w:tr>
      <w:tr w:rsidR="00502A06" w14:paraId="68729B2B" w14:textId="77777777" w:rsidTr="007B0783">
        <w:trPr>
          <w:trHeight w:val="288"/>
          <w:jc w:val="center"/>
        </w:trPr>
        <w:tc>
          <w:tcPr>
            <w:tcW w:w="2160" w:type="dxa"/>
            <w:vAlign w:val="center"/>
          </w:tcPr>
          <w:p w14:paraId="2334A2B9" w14:textId="6ACDBF74" w:rsidR="00502A06" w:rsidRDefault="00502A06" w:rsidP="00502A06">
            <w:pPr>
              <w:jc w:val="center"/>
              <w:rPr>
                <w:rFonts w:ascii="Arial" w:hAnsi="Arial" w:cs="Arial"/>
                <w:sz w:val="20"/>
                <w:szCs w:val="20"/>
              </w:rPr>
            </w:pPr>
            <w:r>
              <w:rPr>
                <w:rFonts w:ascii="Arial" w:hAnsi="Arial" w:cs="Arial"/>
                <w:sz w:val="20"/>
                <w:szCs w:val="20"/>
              </w:rPr>
              <w:t>40</w:t>
            </w:r>
          </w:p>
        </w:tc>
        <w:tc>
          <w:tcPr>
            <w:tcW w:w="1872" w:type="dxa"/>
            <w:vAlign w:val="center"/>
          </w:tcPr>
          <w:p w14:paraId="35535059" w14:textId="5CE3F106" w:rsidR="00502A06" w:rsidRDefault="00502A06" w:rsidP="00502A06">
            <w:pPr>
              <w:jc w:val="center"/>
              <w:rPr>
                <w:rFonts w:ascii="Arial" w:hAnsi="Arial" w:cs="Arial"/>
                <w:sz w:val="20"/>
                <w:szCs w:val="20"/>
              </w:rPr>
            </w:pPr>
            <w:r>
              <w:rPr>
                <w:rFonts w:ascii="Arial" w:hAnsi="Arial" w:cs="Arial"/>
                <w:sz w:val="20"/>
                <w:szCs w:val="20"/>
              </w:rPr>
              <w:t>0</w:t>
            </w:r>
          </w:p>
        </w:tc>
        <w:tc>
          <w:tcPr>
            <w:tcW w:w="1872" w:type="dxa"/>
            <w:vAlign w:val="center"/>
          </w:tcPr>
          <w:p w14:paraId="583E4890" w14:textId="0FA6D7C8" w:rsidR="00502A06" w:rsidRDefault="007B0783" w:rsidP="00502A06">
            <w:pPr>
              <w:jc w:val="center"/>
              <w:rPr>
                <w:rFonts w:ascii="Arial" w:hAnsi="Arial" w:cs="Arial"/>
                <w:sz w:val="20"/>
                <w:szCs w:val="20"/>
              </w:rPr>
            </w:pPr>
            <w:r>
              <w:rPr>
                <w:rFonts w:ascii="Arial" w:hAnsi="Arial" w:cs="Arial"/>
                <w:sz w:val="20"/>
                <w:szCs w:val="20"/>
              </w:rPr>
              <w:t>0</w:t>
            </w:r>
          </w:p>
        </w:tc>
      </w:tr>
      <w:tr w:rsidR="00502A06" w14:paraId="3CC2F343" w14:textId="77777777" w:rsidTr="007B0783">
        <w:trPr>
          <w:trHeight w:val="288"/>
          <w:jc w:val="center"/>
        </w:trPr>
        <w:tc>
          <w:tcPr>
            <w:tcW w:w="2160" w:type="dxa"/>
            <w:vAlign w:val="center"/>
          </w:tcPr>
          <w:p w14:paraId="0FB7BF2E" w14:textId="356F4A11" w:rsidR="00502A06" w:rsidRDefault="00502A06" w:rsidP="00502A06">
            <w:pPr>
              <w:jc w:val="center"/>
              <w:rPr>
                <w:rFonts w:ascii="Arial" w:hAnsi="Arial" w:cs="Arial"/>
                <w:sz w:val="20"/>
                <w:szCs w:val="20"/>
              </w:rPr>
            </w:pPr>
            <w:r>
              <w:rPr>
                <w:rFonts w:ascii="Arial" w:hAnsi="Arial" w:cs="Arial"/>
                <w:sz w:val="20"/>
                <w:szCs w:val="20"/>
              </w:rPr>
              <w:t>30</w:t>
            </w:r>
          </w:p>
        </w:tc>
        <w:tc>
          <w:tcPr>
            <w:tcW w:w="1872" w:type="dxa"/>
            <w:vAlign w:val="center"/>
          </w:tcPr>
          <w:p w14:paraId="172DF32C" w14:textId="2FA25EC7" w:rsidR="00502A06" w:rsidRDefault="00502A06" w:rsidP="00502A06">
            <w:pPr>
              <w:jc w:val="center"/>
              <w:rPr>
                <w:rFonts w:ascii="Arial" w:hAnsi="Arial" w:cs="Arial"/>
                <w:sz w:val="20"/>
                <w:szCs w:val="20"/>
              </w:rPr>
            </w:pPr>
            <w:r>
              <w:rPr>
                <w:rFonts w:ascii="Arial" w:hAnsi="Arial" w:cs="Arial"/>
                <w:sz w:val="20"/>
                <w:szCs w:val="20"/>
              </w:rPr>
              <w:t>0</w:t>
            </w:r>
          </w:p>
        </w:tc>
        <w:tc>
          <w:tcPr>
            <w:tcW w:w="1872" w:type="dxa"/>
            <w:vAlign w:val="center"/>
          </w:tcPr>
          <w:p w14:paraId="58D69FF2" w14:textId="0EB0DB71" w:rsidR="00502A06" w:rsidRDefault="007B0783" w:rsidP="00502A06">
            <w:pPr>
              <w:jc w:val="center"/>
              <w:rPr>
                <w:rFonts w:ascii="Arial" w:hAnsi="Arial" w:cs="Arial"/>
                <w:sz w:val="20"/>
                <w:szCs w:val="20"/>
              </w:rPr>
            </w:pPr>
            <w:r>
              <w:rPr>
                <w:rFonts w:ascii="Arial" w:hAnsi="Arial" w:cs="Arial"/>
                <w:sz w:val="20"/>
                <w:szCs w:val="20"/>
              </w:rPr>
              <w:t>0</w:t>
            </w:r>
          </w:p>
        </w:tc>
      </w:tr>
      <w:tr w:rsidR="00502A06" w14:paraId="19AB3F69" w14:textId="77777777" w:rsidTr="007B0783">
        <w:trPr>
          <w:trHeight w:val="288"/>
          <w:jc w:val="center"/>
        </w:trPr>
        <w:tc>
          <w:tcPr>
            <w:tcW w:w="2160" w:type="dxa"/>
            <w:vAlign w:val="center"/>
          </w:tcPr>
          <w:p w14:paraId="1DFB1DD8" w14:textId="0DA7094D" w:rsidR="00502A06" w:rsidRDefault="00502A06" w:rsidP="00502A06">
            <w:pPr>
              <w:jc w:val="center"/>
              <w:rPr>
                <w:rFonts w:ascii="Arial" w:hAnsi="Arial" w:cs="Arial"/>
                <w:sz w:val="20"/>
                <w:szCs w:val="20"/>
              </w:rPr>
            </w:pPr>
            <w:r>
              <w:rPr>
                <w:rFonts w:ascii="Arial" w:hAnsi="Arial" w:cs="Arial"/>
                <w:sz w:val="20"/>
                <w:szCs w:val="20"/>
              </w:rPr>
              <w:t>20</w:t>
            </w:r>
          </w:p>
        </w:tc>
        <w:tc>
          <w:tcPr>
            <w:tcW w:w="1872" w:type="dxa"/>
            <w:vAlign w:val="center"/>
          </w:tcPr>
          <w:p w14:paraId="45B4AC67" w14:textId="031ACBD8" w:rsidR="00502A06" w:rsidRDefault="00502A06" w:rsidP="00502A06">
            <w:pPr>
              <w:jc w:val="center"/>
              <w:rPr>
                <w:rFonts w:ascii="Arial" w:hAnsi="Arial" w:cs="Arial"/>
                <w:sz w:val="20"/>
                <w:szCs w:val="20"/>
              </w:rPr>
            </w:pPr>
            <w:r>
              <w:rPr>
                <w:rFonts w:ascii="Arial" w:hAnsi="Arial" w:cs="Arial"/>
                <w:sz w:val="20"/>
                <w:szCs w:val="20"/>
              </w:rPr>
              <w:t>0</w:t>
            </w:r>
          </w:p>
        </w:tc>
        <w:tc>
          <w:tcPr>
            <w:tcW w:w="1872" w:type="dxa"/>
            <w:vAlign w:val="center"/>
          </w:tcPr>
          <w:p w14:paraId="3F46C974" w14:textId="31DF31FA" w:rsidR="00502A06" w:rsidRDefault="007B0783" w:rsidP="00502A06">
            <w:pPr>
              <w:jc w:val="center"/>
              <w:rPr>
                <w:rFonts w:ascii="Arial" w:hAnsi="Arial" w:cs="Arial"/>
                <w:sz w:val="20"/>
                <w:szCs w:val="20"/>
              </w:rPr>
            </w:pPr>
            <w:r>
              <w:rPr>
                <w:rFonts w:ascii="Arial" w:hAnsi="Arial" w:cs="Arial"/>
                <w:sz w:val="20"/>
                <w:szCs w:val="20"/>
              </w:rPr>
              <w:t>0</w:t>
            </w:r>
          </w:p>
        </w:tc>
      </w:tr>
      <w:tr w:rsidR="00502A06" w14:paraId="15F7ADDF" w14:textId="77777777" w:rsidTr="007B0783">
        <w:trPr>
          <w:trHeight w:val="288"/>
          <w:jc w:val="center"/>
        </w:trPr>
        <w:tc>
          <w:tcPr>
            <w:tcW w:w="2160" w:type="dxa"/>
            <w:vAlign w:val="center"/>
          </w:tcPr>
          <w:p w14:paraId="59AC5192" w14:textId="4BC29317" w:rsidR="00502A06" w:rsidRDefault="00502A06" w:rsidP="00502A06">
            <w:pPr>
              <w:jc w:val="center"/>
              <w:rPr>
                <w:rFonts w:ascii="Arial" w:hAnsi="Arial" w:cs="Arial"/>
                <w:sz w:val="20"/>
                <w:szCs w:val="20"/>
              </w:rPr>
            </w:pPr>
            <w:r>
              <w:rPr>
                <w:rFonts w:ascii="Arial" w:hAnsi="Arial" w:cs="Arial"/>
                <w:sz w:val="20"/>
                <w:szCs w:val="20"/>
              </w:rPr>
              <w:t>10</w:t>
            </w:r>
          </w:p>
        </w:tc>
        <w:tc>
          <w:tcPr>
            <w:tcW w:w="1872" w:type="dxa"/>
            <w:vAlign w:val="center"/>
          </w:tcPr>
          <w:p w14:paraId="42C2313F" w14:textId="360ABEE3" w:rsidR="00502A06" w:rsidRDefault="00502A06" w:rsidP="00502A06">
            <w:pPr>
              <w:jc w:val="center"/>
              <w:rPr>
                <w:rFonts w:ascii="Arial" w:hAnsi="Arial" w:cs="Arial"/>
                <w:sz w:val="20"/>
                <w:szCs w:val="20"/>
              </w:rPr>
            </w:pPr>
            <w:r>
              <w:rPr>
                <w:rFonts w:ascii="Arial" w:hAnsi="Arial" w:cs="Arial"/>
                <w:sz w:val="20"/>
                <w:szCs w:val="20"/>
              </w:rPr>
              <w:t>0</w:t>
            </w:r>
          </w:p>
        </w:tc>
        <w:tc>
          <w:tcPr>
            <w:tcW w:w="1872" w:type="dxa"/>
            <w:vAlign w:val="center"/>
          </w:tcPr>
          <w:p w14:paraId="2EE8043F" w14:textId="5A8D18F0" w:rsidR="00502A06" w:rsidRDefault="007B0783" w:rsidP="00502A06">
            <w:pPr>
              <w:jc w:val="center"/>
              <w:rPr>
                <w:rFonts w:ascii="Arial" w:hAnsi="Arial" w:cs="Arial"/>
                <w:sz w:val="20"/>
                <w:szCs w:val="20"/>
              </w:rPr>
            </w:pPr>
            <w:r>
              <w:rPr>
                <w:rFonts w:ascii="Arial" w:hAnsi="Arial" w:cs="Arial"/>
                <w:sz w:val="20"/>
                <w:szCs w:val="20"/>
              </w:rPr>
              <w:t>0</w:t>
            </w:r>
          </w:p>
        </w:tc>
      </w:tr>
    </w:tbl>
    <w:p w14:paraId="2F33123F" w14:textId="77777777" w:rsidR="00502A06" w:rsidRDefault="00502A06" w:rsidP="007B0783">
      <w:pPr>
        <w:jc w:val="both"/>
        <w:rPr>
          <w:rFonts w:ascii="Arial" w:hAnsi="Arial" w:cs="Arial"/>
          <w:sz w:val="20"/>
          <w:szCs w:val="20"/>
        </w:rPr>
      </w:pPr>
    </w:p>
    <w:p w14:paraId="4AE5C4CA" w14:textId="4DE73593" w:rsidR="00596836" w:rsidRPr="007B0783" w:rsidRDefault="007B0783" w:rsidP="007B0783">
      <w:pPr>
        <w:spacing w:after="120"/>
        <w:jc w:val="center"/>
        <w:rPr>
          <w:rFonts w:ascii="Arial" w:hAnsi="Arial" w:cs="Arial"/>
          <w:b/>
          <w:bCs/>
          <w:sz w:val="20"/>
          <w:szCs w:val="20"/>
        </w:rPr>
      </w:pPr>
      <w:r w:rsidRPr="007B0783">
        <w:rPr>
          <w:rFonts w:ascii="Arial" w:hAnsi="Arial" w:cs="Arial"/>
          <w:b/>
          <w:bCs/>
          <w:sz w:val="20"/>
          <w:szCs w:val="20"/>
        </w:rPr>
        <w:t>Table 2-1 Power reduction versus UL duty cycle between ΔP</w:t>
      </w:r>
      <w:r w:rsidRPr="007B0783">
        <w:rPr>
          <w:rFonts w:ascii="Arial" w:hAnsi="Arial" w:cs="Arial"/>
          <w:b/>
          <w:bCs/>
          <w:sz w:val="20"/>
          <w:szCs w:val="20"/>
          <w:vertAlign w:val="subscript"/>
        </w:rPr>
        <w:t>PowerClass</w:t>
      </w:r>
      <w:r w:rsidRPr="007B0783">
        <w:rPr>
          <w:rFonts w:ascii="Arial" w:hAnsi="Arial" w:cs="Arial"/>
          <w:b/>
          <w:bCs/>
          <w:sz w:val="20"/>
          <w:szCs w:val="20"/>
        </w:rPr>
        <w:t xml:space="preserve"> and P-MPR for a PC2 UE</w:t>
      </w:r>
    </w:p>
    <w:p w14:paraId="68498C74" w14:textId="77777777" w:rsidR="007B0783" w:rsidRDefault="007B0783" w:rsidP="00596836">
      <w:pPr>
        <w:jc w:val="both"/>
        <w:rPr>
          <w:rFonts w:ascii="Arial" w:hAnsi="Arial" w:cs="Arial"/>
          <w:sz w:val="20"/>
          <w:szCs w:val="20"/>
        </w:rPr>
      </w:pPr>
    </w:p>
    <w:p w14:paraId="1489442B" w14:textId="7F649B95" w:rsidR="007B0783" w:rsidRDefault="007B0783" w:rsidP="00B97F94">
      <w:pPr>
        <w:spacing w:after="120"/>
        <w:jc w:val="both"/>
        <w:rPr>
          <w:rFonts w:ascii="Arial" w:hAnsi="Arial" w:cs="Arial"/>
          <w:sz w:val="20"/>
          <w:szCs w:val="20"/>
        </w:rPr>
      </w:pPr>
      <w:r>
        <w:rPr>
          <w:rFonts w:ascii="Arial" w:hAnsi="Arial" w:cs="Arial"/>
          <w:sz w:val="20"/>
          <w:szCs w:val="20"/>
        </w:rPr>
        <w:lastRenderedPageBreak/>
        <w:t>It can be seen that the UL duty-cycle solution with ΔP</w:t>
      </w:r>
      <w:r w:rsidRPr="00814317">
        <w:rPr>
          <w:rFonts w:ascii="Arial" w:hAnsi="Arial" w:cs="Arial"/>
          <w:sz w:val="20"/>
          <w:szCs w:val="20"/>
          <w:vertAlign w:val="subscript"/>
        </w:rPr>
        <w:t>PowerClass</w:t>
      </w:r>
      <w:r>
        <w:rPr>
          <w:rFonts w:ascii="Arial" w:hAnsi="Arial" w:cs="Arial"/>
          <w:sz w:val="20"/>
          <w:szCs w:val="20"/>
        </w:rPr>
        <w:t xml:space="preserve"> has worse UL efficiency as compared to P-MPR solution for UL duty cycle between </w:t>
      </w:r>
      <w:r w:rsidR="00B97F94">
        <w:rPr>
          <w:rFonts w:ascii="Arial" w:hAnsi="Arial" w:cs="Arial"/>
          <w:sz w:val="20"/>
          <w:szCs w:val="20"/>
        </w:rPr>
        <w:t xml:space="preserve">50% and 100% as </w:t>
      </w:r>
      <w:r w:rsidR="00F95A92">
        <w:rPr>
          <w:rFonts w:ascii="Arial" w:hAnsi="Arial" w:cs="Arial"/>
          <w:sz w:val="20"/>
          <w:szCs w:val="20"/>
        </w:rPr>
        <w:t>ΔP</w:t>
      </w:r>
      <w:r w:rsidR="00F95A92" w:rsidRPr="00814317">
        <w:rPr>
          <w:rFonts w:ascii="Arial" w:hAnsi="Arial" w:cs="Arial"/>
          <w:sz w:val="20"/>
          <w:szCs w:val="20"/>
          <w:vertAlign w:val="subscript"/>
        </w:rPr>
        <w:t>PowerClass</w:t>
      </w:r>
      <w:r w:rsidR="00F95A92">
        <w:rPr>
          <w:rFonts w:ascii="Arial" w:hAnsi="Arial" w:cs="Arial"/>
          <w:sz w:val="20"/>
          <w:szCs w:val="20"/>
        </w:rPr>
        <w:t xml:space="preserve"> is always</w:t>
      </w:r>
      <w:r w:rsidR="00B97F94">
        <w:rPr>
          <w:rFonts w:ascii="Arial" w:hAnsi="Arial" w:cs="Arial"/>
          <w:sz w:val="20"/>
          <w:szCs w:val="20"/>
        </w:rPr>
        <w:t xml:space="preserve"> 3 dB in this duty cycle range while P-MPR allows incremental power reduction between </w:t>
      </w:r>
      <w:r w:rsidR="00F95A92">
        <w:rPr>
          <w:rFonts w:ascii="Arial" w:hAnsi="Arial" w:cs="Arial"/>
          <w:sz w:val="20"/>
          <w:szCs w:val="20"/>
        </w:rPr>
        <w:t>0</w:t>
      </w:r>
      <w:r w:rsidR="00B97F94">
        <w:rPr>
          <w:rFonts w:ascii="Arial" w:hAnsi="Arial" w:cs="Arial"/>
          <w:sz w:val="20"/>
          <w:szCs w:val="20"/>
        </w:rPr>
        <w:t xml:space="preserve"> and </w:t>
      </w:r>
      <w:r w:rsidR="00F95A92">
        <w:rPr>
          <w:rFonts w:ascii="Arial" w:hAnsi="Arial" w:cs="Arial"/>
          <w:sz w:val="20"/>
          <w:szCs w:val="20"/>
        </w:rPr>
        <w:t>3</w:t>
      </w:r>
      <w:r w:rsidR="00B97F94">
        <w:rPr>
          <w:rFonts w:ascii="Arial" w:hAnsi="Arial" w:cs="Arial"/>
          <w:sz w:val="20"/>
          <w:szCs w:val="20"/>
        </w:rPr>
        <w:t xml:space="preserve"> dB. </w:t>
      </w:r>
      <w:r>
        <w:rPr>
          <w:rFonts w:ascii="Arial" w:hAnsi="Arial" w:cs="Arial"/>
          <w:sz w:val="20"/>
          <w:szCs w:val="20"/>
        </w:rPr>
        <w:t xml:space="preserve"> </w:t>
      </w:r>
    </w:p>
    <w:p w14:paraId="7CFE946C" w14:textId="77777777" w:rsidR="007B0783" w:rsidRDefault="007B0783" w:rsidP="00596836">
      <w:pPr>
        <w:jc w:val="both"/>
        <w:rPr>
          <w:rFonts w:ascii="Arial" w:hAnsi="Arial" w:cs="Arial"/>
          <w:sz w:val="20"/>
          <w:szCs w:val="20"/>
        </w:rPr>
      </w:pPr>
    </w:p>
    <w:p w14:paraId="0A97925D" w14:textId="07C9683D" w:rsidR="00B97F94" w:rsidRPr="00B97F94" w:rsidRDefault="00B97F94" w:rsidP="009F7AAA">
      <w:pPr>
        <w:spacing w:after="120"/>
        <w:jc w:val="both"/>
        <w:rPr>
          <w:rFonts w:ascii="Arial" w:hAnsi="Arial" w:cs="Arial"/>
          <w:bCs/>
          <w:i/>
          <w:iCs/>
          <w:sz w:val="20"/>
          <w:szCs w:val="20"/>
        </w:rPr>
      </w:pPr>
      <w:r>
        <w:rPr>
          <w:rFonts w:ascii="Arial" w:hAnsi="Arial" w:cs="Arial"/>
          <w:b/>
          <w:i/>
          <w:iCs/>
          <w:sz w:val="20"/>
          <w:szCs w:val="20"/>
        </w:rPr>
        <w:t xml:space="preserve">Observation </w:t>
      </w:r>
      <w:r w:rsidR="00BA11CA">
        <w:rPr>
          <w:rFonts w:ascii="Arial" w:hAnsi="Arial" w:cs="Arial"/>
          <w:b/>
          <w:i/>
          <w:iCs/>
          <w:sz w:val="20"/>
          <w:szCs w:val="20"/>
        </w:rPr>
        <w:t>7</w:t>
      </w:r>
      <w:r>
        <w:rPr>
          <w:rFonts w:ascii="Arial" w:hAnsi="Arial" w:cs="Arial"/>
          <w:bCs/>
          <w:i/>
          <w:iCs/>
          <w:sz w:val="20"/>
          <w:szCs w:val="20"/>
        </w:rPr>
        <w:t xml:space="preserve">: </w:t>
      </w:r>
      <w:r w:rsidRPr="00B97F94">
        <w:rPr>
          <w:rFonts w:ascii="Arial" w:hAnsi="Arial" w:cs="Arial"/>
          <w:bCs/>
          <w:i/>
          <w:iCs/>
          <w:sz w:val="20"/>
          <w:szCs w:val="20"/>
        </w:rPr>
        <w:t>UL duty-cycle solution with ΔP</w:t>
      </w:r>
      <w:r w:rsidRPr="00B97F94">
        <w:rPr>
          <w:rFonts w:ascii="Arial" w:hAnsi="Arial" w:cs="Arial"/>
          <w:bCs/>
          <w:i/>
          <w:iCs/>
          <w:sz w:val="20"/>
          <w:szCs w:val="20"/>
          <w:vertAlign w:val="subscript"/>
        </w:rPr>
        <w:t>PowerClass</w:t>
      </w:r>
      <w:r>
        <w:rPr>
          <w:rFonts w:ascii="Arial" w:hAnsi="Arial" w:cs="Arial"/>
          <w:bCs/>
          <w:i/>
          <w:iCs/>
          <w:sz w:val="20"/>
          <w:szCs w:val="20"/>
        </w:rPr>
        <w:t xml:space="preserve"> is only a subset of P-MPR solution.</w:t>
      </w:r>
    </w:p>
    <w:p w14:paraId="0F4003D1" w14:textId="77777777" w:rsidR="00B97F94" w:rsidRPr="00B97F94" w:rsidRDefault="00B97F94" w:rsidP="00B97F94">
      <w:pPr>
        <w:jc w:val="both"/>
        <w:rPr>
          <w:rFonts w:ascii="Arial" w:hAnsi="Arial" w:cs="Arial"/>
          <w:bCs/>
          <w:sz w:val="20"/>
          <w:szCs w:val="20"/>
        </w:rPr>
      </w:pPr>
    </w:p>
    <w:p w14:paraId="63008300" w14:textId="227C21C9" w:rsidR="00BA4767" w:rsidRDefault="00BA4767" w:rsidP="009F7AAA">
      <w:pPr>
        <w:spacing w:after="120"/>
        <w:jc w:val="both"/>
        <w:rPr>
          <w:rFonts w:ascii="Arial" w:hAnsi="Arial" w:cs="Arial"/>
          <w:sz w:val="20"/>
          <w:szCs w:val="20"/>
        </w:rPr>
      </w:pPr>
      <w:r w:rsidRPr="00BA4767">
        <w:rPr>
          <w:rFonts w:ascii="Arial" w:hAnsi="Arial" w:cs="Arial"/>
          <w:b/>
          <w:i/>
          <w:iCs/>
          <w:sz w:val="20"/>
          <w:szCs w:val="20"/>
        </w:rPr>
        <w:t xml:space="preserve">Observation </w:t>
      </w:r>
      <w:r w:rsidR="00BA11CA">
        <w:rPr>
          <w:rFonts w:ascii="Arial" w:hAnsi="Arial" w:cs="Arial"/>
          <w:b/>
          <w:i/>
          <w:iCs/>
          <w:sz w:val="20"/>
          <w:szCs w:val="20"/>
        </w:rPr>
        <w:t>8</w:t>
      </w:r>
      <w:r w:rsidRPr="00BA4767">
        <w:rPr>
          <w:rFonts w:ascii="Arial" w:hAnsi="Arial" w:cs="Arial"/>
          <w:bCs/>
          <w:i/>
          <w:iCs/>
          <w:sz w:val="20"/>
          <w:szCs w:val="20"/>
        </w:rPr>
        <w:t xml:space="preserve">: </w:t>
      </w:r>
      <w:r w:rsidR="00EE6EE3">
        <w:rPr>
          <w:rFonts w:ascii="Arial" w:hAnsi="Arial" w:cs="Arial"/>
          <w:bCs/>
          <w:i/>
          <w:iCs/>
          <w:sz w:val="20"/>
          <w:szCs w:val="20"/>
        </w:rPr>
        <w:t xml:space="preserve">For PC2 UE, </w:t>
      </w:r>
      <w:r w:rsidR="00B97F94" w:rsidRPr="00B97F94">
        <w:rPr>
          <w:rFonts w:ascii="Arial" w:hAnsi="Arial" w:cs="Arial"/>
          <w:bCs/>
          <w:i/>
          <w:iCs/>
          <w:sz w:val="20"/>
          <w:szCs w:val="20"/>
        </w:rPr>
        <w:t>UL duty-cycle solution with ΔP</w:t>
      </w:r>
      <w:r w:rsidR="00B97F94" w:rsidRPr="00B97F94">
        <w:rPr>
          <w:rFonts w:ascii="Arial" w:hAnsi="Arial" w:cs="Arial"/>
          <w:bCs/>
          <w:i/>
          <w:iCs/>
          <w:sz w:val="20"/>
          <w:szCs w:val="20"/>
          <w:vertAlign w:val="subscript"/>
        </w:rPr>
        <w:t>PowerClass</w:t>
      </w:r>
      <w:r w:rsidR="00B97F94" w:rsidRPr="00B97F94">
        <w:rPr>
          <w:rFonts w:ascii="Arial" w:hAnsi="Arial" w:cs="Arial"/>
          <w:bCs/>
          <w:i/>
          <w:iCs/>
          <w:sz w:val="20"/>
          <w:szCs w:val="20"/>
        </w:rPr>
        <w:t xml:space="preserve"> has worse UL efficiency as compared to P-MPR solution for UL duty cycle between 50% and 100%</w:t>
      </w:r>
      <w:r w:rsidRPr="00BA4767">
        <w:rPr>
          <w:rFonts w:ascii="Arial" w:hAnsi="Arial" w:cs="Arial"/>
          <w:bCs/>
          <w:i/>
          <w:iCs/>
          <w:sz w:val="20"/>
          <w:szCs w:val="20"/>
        </w:rPr>
        <w:t>.</w:t>
      </w:r>
    </w:p>
    <w:p w14:paraId="2FF65E34" w14:textId="77777777" w:rsidR="00BA4767" w:rsidRDefault="00BA4767" w:rsidP="00596836">
      <w:pPr>
        <w:jc w:val="both"/>
        <w:rPr>
          <w:rFonts w:ascii="Arial" w:hAnsi="Arial" w:cs="Arial"/>
          <w:sz w:val="20"/>
          <w:szCs w:val="20"/>
        </w:rPr>
      </w:pPr>
    </w:p>
    <w:p w14:paraId="68F9C050" w14:textId="10B03CCF" w:rsidR="00554DDE" w:rsidRDefault="00B97F94" w:rsidP="008C6C35">
      <w:pPr>
        <w:spacing w:after="120"/>
        <w:jc w:val="both"/>
        <w:rPr>
          <w:rFonts w:ascii="Arial" w:hAnsi="Arial" w:cs="Arial"/>
          <w:sz w:val="20"/>
          <w:szCs w:val="20"/>
        </w:rPr>
      </w:pPr>
      <w:r>
        <w:rPr>
          <w:rFonts w:ascii="Arial" w:hAnsi="Arial" w:cs="Arial"/>
          <w:sz w:val="20"/>
          <w:szCs w:val="20"/>
        </w:rPr>
        <w:t>On the other hand</w:t>
      </w:r>
      <w:r w:rsidR="00596836">
        <w:rPr>
          <w:rFonts w:ascii="Arial" w:hAnsi="Arial" w:cs="Arial"/>
          <w:sz w:val="20"/>
          <w:szCs w:val="20"/>
        </w:rPr>
        <w:t xml:space="preserve">, the </w:t>
      </w:r>
      <w:r w:rsidR="00644EC4">
        <w:rPr>
          <w:rFonts w:ascii="Arial" w:hAnsi="Arial" w:cs="Arial"/>
          <w:sz w:val="20"/>
          <w:szCs w:val="20"/>
        </w:rPr>
        <w:t xml:space="preserve">UL </w:t>
      </w:r>
      <w:r w:rsidR="00596836">
        <w:rPr>
          <w:rFonts w:ascii="Arial" w:hAnsi="Arial" w:cs="Arial"/>
          <w:sz w:val="20"/>
          <w:szCs w:val="20"/>
        </w:rPr>
        <w:t>duty-cycle solution with ΔP</w:t>
      </w:r>
      <w:r w:rsidR="00596836" w:rsidRPr="00814317">
        <w:rPr>
          <w:rFonts w:ascii="Arial" w:hAnsi="Arial" w:cs="Arial"/>
          <w:sz w:val="20"/>
          <w:szCs w:val="20"/>
          <w:vertAlign w:val="subscript"/>
        </w:rPr>
        <w:t>PowerClass</w:t>
      </w:r>
      <w:r w:rsidR="00596836">
        <w:rPr>
          <w:rFonts w:ascii="Arial" w:hAnsi="Arial" w:cs="Arial"/>
          <w:sz w:val="20"/>
          <w:szCs w:val="20"/>
        </w:rPr>
        <w:t xml:space="preserve"> has </w:t>
      </w:r>
      <w:r w:rsidR="00554DDE">
        <w:rPr>
          <w:rFonts w:ascii="Arial" w:hAnsi="Arial" w:cs="Arial"/>
          <w:sz w:val="20"/>
          <w:szCs w:val="20"/>
        </w:rPr>
        <w:t xml:space="preserve">been </w:t>
      </w:r>
      <w:r w:rsidR="00596836">
        <w:rPr>
          <w:rFonts w:ascii="Arial" w:hAnsi="Arial" w:cs="Arial"/>
          <w:sz w:val="20"/>
          <w:szCs w:val="20"/>
        </w:rPr>
        <w:t>caus</w:t>
      </w:r>
      <w:r w:rsidR="00554DDE">
        <w:rPr>
          <w:rFonts w:ascii="Arial" w:hAnsi="Arial" w:cs="Arial"/>
          <w:sz w:val="20"/>
          <w:szCs w:val="20"/>
        </w:rPr>
        <w:t>ing</w:t>
      </w:r>
      <w:r w:rsidR="00596836">
        <w:rPr>
          <w:rFonts w:ascii="Arial" w:hAnsi="Arial" w:cs="Arial"/>
          <w:sz w:val="20"/>
          <w:szCs w:val="20"/>
        </w:rPr>
        <w:t xml:space="preserve"> a misconception of the so-called “power class fallback” in the current specifications </w:t>
      </w:r>
      <w:r w:rsidR="00554DDE">
        <w:rPr>
          <w:rFonts w:ascii="Arial" w:hAnsi="Arial" w:cs="Arial"/>
          <w:sz w:val="20"/>
          <w:szCs w:val="20"/>
        </w:rPr>
        <w:t xml:space="preserve">where the </w:t>
      </w:r>
      <w:r w:rsidR="00554DDE" w:rsidRPr="00554DDE">
        <w:rPr>
          <w:rFonts w:ascii="Arial" w:hAnsi="Arial" w:cs="Arial"/>
          <w:sz w:val="20"/>
          <w:szCs w:val="20"/>
        </w:rPr>
        <w:t>UE configured maximum output power reduction would be mistakenly double counted</w:t>
      </w:r>
      <w:r w:rsidR="00554DDE">
        <w:rPr>
          <w:rFonts w:ascii="Arial" w:hAnsi="Arial" w:cs="Arial"/>
          <w:sz w:val="20"/>
          <w:szCs w:val="20"/>
        </w:rPr>
        <w:t>, as brought up in [3].</w:t>
      </w:r>
    </w:p>
    <w:p w14:paraId="7E23392B" w14:textId="77777777" w:rsidR="00554DDE" w:rsidRDefault="00554DDE" w:rsidP="00554DDE">
      <w:pPr>
        <w:jc w:val="both"/>
        <w:rPr>
          <w:rFonts w:ascii="Arial" w:hAnsi="Arial" w:cs="Arial"/>
          <w:sz w:val="20"/>
          <w:szCs w:val="20"/>
        </w:rPr>
      </w:pPr>
    </w:p>
    <w:p w14:paraId="6E693585" w14:textId="7A6ACEE8" w:rsidR="009F7AAA" w:rsidRDefault="009F7AAA" w:rsidP="009F7AAA">
      <w:pPr>
        <w:spacing w:after="120"/>
        <w:jc w:val="both"/>
        <w:rPr>
          <w:rFonts w:ascii="Arial" w:hAnsi="Arial" w:cs="Arial"/>
          <w:sz w:val="20"/>
          <w:szCs w:val="20"/>
        </w:rPr>
      </w:pPr>
      <w:r w:rsidRPr="00BA4767">
        <w:rPr>
          <w:rFonts w:ascii="Arial" w:hAnsi="Arial" w:cs="Arial"/>
          <w:b/>
          <w:i/>
          <w:iCs/>
          <w:sz w:val="20"/>
          <w:szCs w:val="20"/>
        </w:rPr>
        <w:t xml:space="preserve">Observation </w:t>
      </w:r>
      <w:r w:rsidR="00BA11CA">
        <w:rPr>
          <w:rFonts w:ascii="Arial" w:hAnsi="Arial" w:cs="Arial"/>
          <w:b/>
          <w:i/>
          <w:iCs/>
          <w:sz w:val="20"/>
          <w:szCs w:val="20"/>
        </w:rPr>
        <w:t>9</w:t>
      </w:r>
      <w:r w:rsidRPr="00BA4767">
        <w:rPr>
          <w:rFonts w:ascii="Arial" w:hAnsi="Arial" w:cs="Arial"/>
          <w:bCs/>
          <w:i/>
          <w:iCs/>
          <w:sz w:val="20"/>
          <w:szCs w:val="20"/>
        </w:rPr>
        <w:t xml:space="preserve">: </w:t>
      </w:r>
      <w:r>
        <w:rPr>
          <w:rFonts w:ascii="Arial" w:hAnsi="Arial" w:cs="Arial"/>
          <w:bCs/>
          <w:i/>
          <w:iCs/>
          <w:sz w:val="20"/>
          <w:szCs w:val="20"/>
        </w:rPr>
        <w:t>T</w:t>
      </w:r>
      <w:r w:rsidRPr="009F7AAA">
        <w:rPr>
          <w:rFonts w:ascii="Arial" w:hAnsi="Arial" w:cs="Arial"/>
          <w:bCs/>
          <w:i/>
          <w:iCs/>
          <w:sz w:val="20"/>
          <w:szCs w:val="20"/>
        </w:rPr>
        <w:t>he UL duty-cycle solution with ΔP</w:t>
      </w:r>
      <w:r w:rsidRPr="009F7AAA">
        <w:rPr>
          <w:rFonts w:ascii="Arial" w:hAnsi="Arial" w:cs="Arial"/>
          <w:bCs/>
          <w:i/>
          <w:iCs/>
          <w:sz w:val="20"/>
          <w:szCs w:val="20"/>
          <w:vertAlign w:val="subscript"/>
        </w:rPr>
        <w:t>PowerClass</w:t>
      </w:r>
      <w:r w:rsidRPr="009F7AAA">
        <w:rPr>
          <w:rFonts w:ascii="Arial" w:hAnsi="Arial" w:cs="Arial"/>
          <w:bCs/>
          <w:i/>
          <w:iCs/>
          <w:sz w:val="20"/>
          <w:szCs w:val="20"/>
        </w:rPr>
        <w:t xml:space="preserve"> has been causing a misconception of the so-called “power class fallback” in the current specifications where the UE configured maximum output power reduction would be mistakenly double counted</w:t>
      </w:r>
      <w:r w:rsidRPr="00BA4767">
        <w:rPr>
          <w:rFonts w:ascii="Arial" w:hAnsi="Arial" w:cs="Arial"/>
          <w:bCs/>
          <w:i/>
          <w:iCs/>
          <w:sz w:val="20"/>
          <w:szCs w:val="20"/>
        </w:rPr>
        <w:t>.</w:t>
      </w:r>
    </w:p>
    <w:p w14:paraId="4973C52E" w14:textId="77777777" w:rsidR="009F7AAA" w:rsidRDefault="009F7AAA" w:rsidP="009F7AAA">
      <w:pPr>
        <w:jc w:val="both"/>
        <w:rPr>
          <w:rFonts w:ascii="Arial" w:hAnsi="Arial" w:cs="Arial"/>
          <w:sz w:val="20"/>
          <w:szCs w:val="20"/>
        </w:rPr>
      </w:pPr>
    </w:p>
    <w:p w14:paraId="78DB898C" w14:textId="1DB0213E" w:rsidR="00B77BF2" w:rsidRDefault="00B97F94" w:rsidP="008C6C35">
      <w:pPr>
        <w:spacing w:after="120"/>
        <w:jc w:val="both"/>
        <w:rPr>
          <w:rFonts w:ascii="Arial" w:hAnsi="Arial" w:cs="Arial"/>
          <w:bCs/>
          <w:sz w:val="20"/>
          <w:szCs w:val="20"/>
        </w:rPr>
      </w:pPr>
      <w:r>
        <w:rPr>
          <w:rFonts w:ascii="Arial" w:hAnsi="Arial" w:cs="Arial"/>
          <w:sz w:val="20"/>
          <w:szCs w:val="20"/>
        </w:rPr>
        <w:t>Las</w:t>
      </w:r>
      <w:r w:rsidR="00F95A92">
        <w:rPr>
          <w:rFonts w:ascii="Arial" w:hAnsi="Arial" w:cs="Arial"/>
          <w:sz w:val="20"/>
          <w:szCs w:val="20"/>
        </w:rPr>
        <w:t>t but not least</w:t>
      </w:r>
      <w:r w:rsidR="00644EC4">
        <w:rPr>
          <w:rFonts w:ascii="Arial" w:hAnsi="Arial" w:cs="Arial"/>
          <w:sz w:val="20"/>
          <w:szCs w:val="20"/>
        </w:rPr>
        <w:t>,</w:t>
      </w:r>
      <w:r w:rsidR="00BE12EB">
        <w:rPr>
          <w:rFonts w:ascii="Arial" w:hAnsi="Arial" w:cs="Arial"/>
          <w:sz w:val="20"/>
          <w:szCs w:val="20"/>
        </w:rPr>
        <w:t xml:space="preserve"> it is to our understanding that</w:t>
      </w:r>
      <w:r w:rsidR="00BE12EB" w:rsidRPr="00BE12EB">
        <w:rPr>
          <w:rFonts w:ascii="Arial" w:hAnsi="Arial" w:cs="Arial"/>
          <w:bCs/>
          <w:sz w:val="20"/>
          <w:szCs w:val="20"/>
        </w:rPr>
        <w:t xml:space="preserve"> </w:t>
      </w:r>
      <w:r w:rsidR="00BE12EB">
        <w:rPr>
          <w:rFonts w:ascii="Arial" w:hAnsi="Arial" w:cs="Arial"/>
          <w:bCs/>
          <w:sz w:val="20"/>
          <w:szCs w:val="20"/>
        </w:rPr>
        <w:t xml:space="preserve">the UL duty-cycle solution with </w:t>
      </w:r>
      <w:r w:rsidR="00BE12EB">
        <w:rPr>
          <w:rFonts w:ascii="Arial" w:hAnsi="Arial" w:cs="Arial"/>
          <w:sz w:val="20"/>
          <w:szCs w:val="20"/>
        </w:rPr>
        <w:t>ΔP</w:t>
      </w:r>
      <w:r w:rsidR="00BE12EB" w:rsidRPr="00814317">
        <w:rPr>
          <w:rFonts w:ascii="Arial" w:hAnsi="Arial" w:cs="Arial"/>
          <w:sz w:val="20"/>
          <w:szCs w:val="20"/>
          <w:vertAlign w:val="subscript"/>
        </w:rPr>
        <w:t>PowerClass</w:t>
      </w:r>
      <w:r w:rsidR="00BE12EB" w:rsidRPr="00BE12EB">
        <w:rPr>
          <w:rFonts w:ascii="Arial" w:hAnsi="Arial" w:cs="Arial"/>
          <w:bCs/>
          <w:sz w:val="20"/>
          <w:szCs w:val="20"/>
        </w:rPr>
        <w:t xml:space="preserve"> has never been</w:t>
      </w:r>
      <w:r w:rsidR="00BE12EB">
        <w:rPr>
          <w:rFonts w:ascii="Arial" w:hAnsi="Arial" w:cs="Arial"/>
          <w:bCs/>
          <w:sz w:val="20"/>
          <w:szCs w:val="20"/>
        </w:rPr>
        <w:t xml:space="preserve"> practically </w:t>
      </w:r>
      <w:r w:rsidR="00BE12EB" w:rsidRPr="00BE12EB">
        <w:rPr>
          <w:rFonts w:ascii="Arial" w:hAnsi="Arial" w:cs="Arial"/>
          <w:bCs/>
          <w:sz w:val="20"/>
          <w:szCs w:val="20"/>
        </w:rPr>
        <w:t>used by any UE in the field to mitigate SAR issue</w:t>
      </w:r>
      <w:r w:rsidR="00BE12EB">
        <w:rPr>
          <w:rFonts w:ascii="Arial" w:hAnsi="Arial" w:cs="Arial"/>
          <w:bCs/>
          <w:sz w:val="20"/>
          <w:szCs w:val="20"/>
        </w:rPr>
        <w:t xml:space="preserve">. </w:t>
      </w:r>
      <w:r w:rsidR="00F95A92">
        <w:rPr>
          <w:rFonts w:ascii="Arial" w:hAnsi="Arial" w:cs="Arial"/>
          <w:sz w:val="20"/>
          <w:szCs w:val="20"/>
        </w:rPr>
        <w:t>Furthermore,</w:t>
      </w:r>
      <w:r w:rsidR="00BE12EB">
        <w:rPr>
          <w:rFonts w:ascii="Arial" w:hAnsi="Arial" w:cs="Arial"/>
          <w:sz w:val="20"/>
          <w:szCs w:val="20"/>
        </w:rPr>
        <w:t xml:space="preserve"> there is also no conformance test case to verify the requirements. </w:t>
      </w:r>
      <w:r w:rsidR="00C9378E">
        <w:rPr>
          <w:rFonts w:ascii="Arial" w:hAnsi="Arial" w:cs="Arial"/>
          <w:sz w:val="20"/>
          <w:szCs w:val="20"/>
        </w:rPr>
        <w:t>As a result, in our view it would not be worth RAN4’s time and efforts to continue introducing UL duty-cycle based solution with ΔP</w:t>
      </w:r>
      <w:r w:rsidR="00C9378E" w:rsidRPr="00814317">
        <w:rPr>
          <w:rFonts w:ascii="Arial" w:hAnsi="Arial" w:cs="Arial"/>
          <w:sz w:val="20"/>
          <w:szCs w:val="20"/>
          <w:vertAlign w:val="subscript"/>
        </w:rPr>
        <w:t>PowerClass</w:t>
      </w:r>
      <w:r w:rsidR="00C9378E">
        <w:rPr>
          <w:rFonts w:ascii="Arial" w:hAnsi="Arial" w:cs="Arial"/>
          <w:sz w:val="20"/>
          <w:szCs w:val="20"/>
        </w:rPr>
        <w:t xml:space="preserve"> for any new HPUE CA/DC UL configuration in Rel-19 and going forward.  </w:t>
      </w:r>
      <w:r w:rsidR="00554DDE">
        <w:rPr>
          <w:rFonts w:ascii="Arial" w:hAnsi="Arial" w:cs="Arial"/>
          <w:sz w:val="20"/>
          <w:szCs w:val="20"/>
        </w:rPr>
        <w:t xml:space="preserve"> </w:t>
      </w:r>
      <w:r w:rsidR="00596836">
        <w:rPr>
          <w:rFonts w:ascii="Arial" w:hAnsi="Arial" w:cs="Arial"/>
          <w:sz w:val="20"/>
          <w:szCs w:val="20"/>
        </w:rPr>
        <w:t xml:space="preserve">  </w:t>
      </w:r>
      <w:r w:rsidR="00F70628">
        <w:rPr>
          <w:rFonts w:ascii="Arial" w:hAnsi="Arial" w:cs="Arial"/>
          <w:sz w:val="20"/>
          <w:szCs w:val="20"/>
        </w:rPr>
        <w:t xml:space="preserve"> </w:t>
      </w:r>
      <w:r w:rsidR="00F70628">
        <w:rPr>
          <w:rFonts w:ascii="Arial" w:hAnsi="Arial" w:cs="Arial"/>
          <w:bCs/>
          <w:sz w:val="20"/>
          <w:szCs w:val="20"/>
        </w:rPr>
        <w:t xml:space="preserve">   </w:t>
      </w:r>
      <w:r w:rsidR="000816E4">
        <w:rPr>
          <w:rFonts w:ascii="Arial" w:hAnsi="Arial" w:cs="Arial"/>
          <w:bCs/>
          <w:sz w:val="20"/>
          <w:szCs w:val="20"/>
        </w:rPr>
        <w:t xml:space="preserve"> </w:t>
      </w:r>
      <w:r w:rsidR="003B308D">
        <w:rPr>
          <w:rFonts w:ascii="Arial" w:hAnsi="Arial" w:cs="Arial"/>
          <w:bCs/>
          <w:sz w:val="20"/>
          <w:szCs w:val="20"/>
        </w:rPr>
        <w:t xml:space="preserve">  </w:t>
      </w:r>
      <w:r w:rsidR="007C1349">
        <w:rPr>
          <w:rFonts w:ascii="Arial" w:hAnsi="Arial" w:cs="Arial"/>
          <w:bCs/>
          <w:sz w:val="20"/>
          <w:szCs w:val="20"/>
        </w:rPr>
        <w:t xml:space="preserve">  </w:t>
      </w:r>
      <w:r w:rsidR="005D5C72">
        <w:rPr>
          <w:rFonts w:ascii="Arial" w:hAnsi="Arial" w:cs="Arial"/>
          <w:bCs/>
          <w:sz w:val="20"/>
          <w:szCs w:val="20"/>
        </w:rPr>
        <w:t xml:space="preserve">    </w:t>
      </w:r>
      <w:r w:rsidR="002A460E">
        <w:rPr>
          <w:rFonts w:ascii="Arial" w:hAnsi="Arial" w:cs="Arial"/>
          <w:bCs/>
          <w:sz w:val="20"/>
          <w:szCs w:val="20"/>
        </w:rPr>
        <w:t xml:space="preserve">  </w:t>
      </w:r>
      <w:r w:rsidR="00D02D5A">
        <w:rPr>
          <w:rFonts w:ascii="Arial" w:hAnsi="Arial" w:cs="Arial"/>
          <w:bCs/>
          <w:sz w:val="20"/>
          <w:szCs w:val="20"/>
        </w:rPr>
        <w:t xml:space="preserve">    </w:t>
      </w:r>
      <w:r w:rsidR="00FD3F5B">
        <w:rPr>
          <w:rFonts w:ascii="Arial" w:hAnsi="Arial" w:cs="Arial"/>
          <w:bCs/>
          <w:sz w:val="20"/>
          <w:szCs w:val="20"/>
        </w:rPr>
        <w:t xml:space="preserve">   </w:t>
      </w:r>
      <w:r w:rsidR="00B935F2">
        <w:rPr>
          <w:rFonts w:ascii="Arial" w:hAnsi="Arial" w:cs="Arial"/>
          <w:bCs/>
          <w:sz w:val="20"/>
          <w:szCs w:val="20"/>
        </w:rPr>
        <w:t xml:space="preserve"> </w:t>
      </w:r>
      <w:r w:rsidR="00790B2B">
        <w:rPr>
          <w:rFonts w:ascii="Arial" w:hAnsi="Arial" w:cs="Arial"/>
          <w:bCs/>
          <w:sz w:val="20"/>
          <w:szCs w:val="20"/>
        </w:rPr>
        <w:t xml:space="preserve"> </w:t>
      </w:r>
      <w:r w:rsidR="003B270B">
        <w:rPr>
          <w:rFonts w:ascii="Arial" w:hAnsi="Arial" w:cs="Arial"/>
          <w:bCs/>
          <w:sz w:val="20"/>
          <w:szCs w:val="20"/>
        </w:rPr>
        <w:t xml:space="preserve"> </w:t>
      </w:r>
      <w:r w:rsidR="00191285">
        <w:rPr>
          <w:rFonts w:ascii="Arial" w:hAnsi="Arial" w:cs="Arial"/>
          <w:bCs/>
          <w:sz w:val="20"/>
          <w:szCs w:val="20"/>
        </w:rPr>
        <w:t xml:space="preserve"> </w:t>
      </w:r>
    </w:p>
    <w:p w14:paraId="710B4D47" w14:textId="77777777" w:rsidR="00B77BF2" w:rsidRDefault="00B77BF2" w:rsidP="00B77BF2">
      <w:pPr>
        <w:jc w:val="both"/>
        <w:rPr>
          <w:rFonts w:ascii="Arial" w:hAnsi="Arial" w:cs="Arial"/>
          <w:bCs/>
          <w:sz w:val="20"/>
          <w:szCs w:val="20"/>
        </w:rPr>
      </w:pPr>
    </w:p>
    <w:p w14:paraId="794E9F50" w14:textId="1487D48C" w:rsidR="00191285" w:rsidRPr="00191285" w:rsidRDefault="009F7AAA" w:rsidP="008C6C35">
      <w:pPr>
        <w:spacing w:after="120"/>
        <w:jc w:val="both"/>
        <w:rPr>
          <w:rFonts w:ascii="Arial" w:hAnsi="Arial" w:cs="Arial"/>
          <w:bCs/>
          <w:i/>
          <w:iCs/>
          <w:sz w:val="20"/>
          <w:szCs w:val="20"/>
        </w:rPr>
      </w:pPr>
      <w:r w:rsidRPr="00BA4767">
        <w:rPr>
          <w:rFonts w:ascii="Arial" w:hAnsi="Arial" w:cs="Arial"/>
          <w:b/>
          <w:i/>
          <w:iCs/>
          <w:sz w:val="20"/>
          <w:szCs w:val="20"/>
        </w:rPr>
        <w:t xml:space="preserve">Observation </w:t>
      </w:r>
      <w:r w:rsidR="00BA11CA">
        <w:rPr>
          <w:rFonts w:ascii="Arial" w:hAnsi="Arial" w:cs="Arial"/>
          <w:b/>
          <w:i/>
          <w:iCs/>
          <w:sz w:val="20"/>
          <w:szCs w:val="20"/>
        </w:rPr>
        <w:t>10</w:t>
      </w:r>
      <w:r w:rsidRPr="00BA4767">
        <w:rPr>
          <w:rFonts w:ascii="Arial" w:hAnsi="Arial" w:cs="Arial"/>
          <w:bCs/>
          <w:i/>
          <w:iCs/>
          <w:sz w:val="20"/>
          <w:szCs w:val="20"/>
        </w:rPr>
        <w:t xml:space="preserve">: </w:t>
      </w:r>
      <w:r>
        <w:rPr>
          <w:rFonts w:ascii="Arial" w:hAnsi="Arial" w:cs="Arial"/>
          <w:bCs/>
          <w:i/>
          <w:iCs/>
          <w:sz w:val="20"/>
          <w:szCs w:val="20"/>
        </w:rPr>
        <w:t>T</w:t>
      </w:r>
      <w:r w:rsidRPr="009F7AAA">
        <w:rPr>
          <w:rFonts w:ascii="Arial" w:hAnsi="Arial" w:cs="Arial"/>
          <w:bCs/>
          <w:i/>
          <w:iCs/>
          <w:sz w:val="20"/>
          <w:szCs w:val="20"/>
        </w:rPr>
        <w:t>he UL duty-cycle solution with ΔP</w:t>
      </w:r>
      <w:r w:rsidRPr="009F7AAA">
        <w:rPr>
          <w:rFonts w:ascii="Arial" w:hAnsi="Arial" w:cs="Arial"/>
          <w:bCs/>
          <w:i/>
          <w:iCs/>
          <w:sz w:val="20"/>
          <w:szCs w:val="20"/>
          <w:vertAlign w:val="subscript"/>
        </w:rPr>
        <w:t>PowerClass</w:t>
      </w:r>
      <w:r w:rsidRPr="009F7AAA">
        <w:rPr>
          <w:rFonts w:ascii="Arial" w:hAnsi="Arial" w:cs="Arial"/>
          <w:bCs/>
          <w:i/>
          <w:iCs/>
          <w:sz w:val="20"/>
          <w:szCs w:val="20"/>
        </w:rPr>
        <w:t xml:space="preserve"> has never been practically used by any UE in the field to mitigate SAR issue.</w:t>
      </w:r>
    </w:p>
    <w:p w14:paraId="14D0D747" w14:textId="77777777" w:rsidR="00191285" w:rsidRDefault="00191285" w:rsidP="00191285">
      <w:pPr>
        <w:jc w:val="both"/>
        <w:rPr>
          <w:rFonts w:ascii="Arial" w:hAnsi="Arial" w:cs="Arial"/>
          <w:bCs/>
          <w:sz w:val="20"/>
          <w:szCs w:val="20"/>
        </w:rPr>
      </w:pPr>
    </w:p>
    <w:p w14:paraId="2FF6AC13" w14:textId="3AA5D511" w:rsidR="00191285" w:rsidRPr="00191285" w:rsidRDefault="009F7AAA" w:rsidP="00191285">
      <w:pPr>
        <w:spacing w:after="120"/>
        <w:jc w:val="both"/>
        <w:rPr>
          <w:rFonts w:ascii="Arial" w:hAnsi="Arial" w:cs="Arial"/>
          <w:bCs/>
          <w:i/>
          <w:iCs/>
          <w:sz w:val="20"/>
          <w:szCs w:val="20"/>
        </w:rPr>
      </w:pPr>
      <w:r w:rsidRPr="00BA4767">
        <w:rPr>
          <w:rFonts w:ascii="Arial" w:hAnsi="Arial" w:cs="Arial"/>
          <w:b/>
          <w:i/>
          <w:iCs/>
          <w:sz w:val="20"/>
          <w:szCs w:val="20"/>
        </w:rPr>
        <w:t xml:space="preserve">Observation </w:t>
      </w:r>
      <w:r w:rsidR="00BA11CA">
        <w:rPr>
          <w:rFonts w:ascii="Arial" w:hAnsi="Arial" w:cs="Arial"/>
          <w:b/>
          <w:i/>
          <w:iCs/>
          <w:sz w:val="20"/>
          <w:szCs w:val="20"/>
        </w:rPr>
        <w:t>11</w:t>
      </w:r>
      <w:r w:rsidRPr="00BA4767">
        <w:rPr>
          <w:rFonts w:ascii="Arial" w:hAnsi="Arial" w:cs="Arial"/>
          <w:bCs/>
          <w:i/>
          <w:iCs/>
          <w:sz w:val="20"/>
          <w:szCs w:val="20"/>
        </w:rPr>
        <w:t xml:space="preserve">: </w:t>
      </w:r>
      <w:r>
        <w:rPr>
          <w:rFonts w:ascii="Arial" w:hAnsi="Arial" w:cs="Arial"/>
          <w:bCs/>
          <w:i/>
          <w:iCs/>
          <w:sz w:val="20"/>
          <w:szCs w:val="20"/>
        </w:rPr>
        <w:t>T</w:t>
      </w:r>
      <w:r w:rsidRPr="009F7AAA">
        <w:rPr>
          <w:rFonts w:ascii="Arial" w:hAnsi="Arial" w:cs="Arial"/>
          <w:bCs/>
          <w:i/>
          <w:iCs/>
          <w:sz w:val="20"/>
          <w:szCs w:val="20"/>
        </w:rPr>
        <w:t>here is no conformance test case to verify the UL duty-cycle with ΔP</w:t>
      </w:r>
      <w:r w:rsidRPr="009F7AAA">
        <w:rPr>
          <w:rFonts w:ascii="Arial" w:hAnsi="Arial" w:cs="Arial"/>
          <w:bCs/>
          <w:i/>
          <w:iCs/>
          <w:sz w:val="20"/>
          <w:szCs w:val="20"/>
          <w:vertAlign w:val="subscript"/>
        </w:rPr>
        <w:t>PowerClass</w:t>
      </w:r>
      <w:r w:rsidRPr="009F7AAA">
        <w:rPr>
          <w:rFonts w:ascii="Arial" w:hAnsi="Arial" w:cs="Arial"/>
          <w:bCs/>
          <w:i/>
          <w:iCs/>
          <w:sz w:val="20"/>
          <w:szCs w:val="20"/>
        </w:rPr>
        <w:t xml:space="preserve"> requirements.</w:t>
      </w:r>
    </w:p>
    <w:p w14:paraId="61DA4889" w14:textId="77777777" w:rsidR="00562F7C" w:rsidRDefault="00562F7C" w:rsidP="00562F7C">
      <w:pPr>
        <w:jc w:val="both"/>
        <w:rPr>
          <w:rFonts w:ascii="Arial" w:hAnsi="Arial" w:cs="Arial"/>
          <w:bCs/>
          <w:sz w:val="20"/>
          <w:szCs w:val="20"/>
        </w:rPr>
      </w:pPr>
    </w:p>
    <w:p w14:paraId="308C3FA6" w14:textId="4D2B4554" w:rsidR="003F6B7C" w:rsidRDefault="003F6B7C" w:rsidP="003F6B7C">
      <w:pPr>
        <w:spacing w:after="120"/>
        <w:jc w:val="both"/>
        <w:rPr>
          <w:rFonts w:ascii="Arial" w:hAnsi="Arial" w:cs="Arial"/>
          <w:bCs/>
          <w:sz w:val="20"/>
          <w:szCs w:val="20"/>
        </w:rPr>
      </w:pPr>
      <w:r w:rsidRPr="00191285">
        <w:rPr>
          <w:rFonts w:ascii="Arial" w:hAnsi="Arial" w:cs="Arial"/>
          <w:b/>
          <w:i/>
          <w:iCs/>
          <w:sz w:val="20"/>
          <w:szCs w:val="20"/>
        </w:rPr>
        <w:t xml:space="preserve">Observation </w:t>
      </w:r>
      <w:r w:rsidR="00BA11CA">
        <w:rPr>
          <w:rFonts w:ascii="Arial" w:hAnsi="Arial" w:cs="Arial"/>
          <w:b/>
          <w:i/>
          <w:iCs/>
          <w:sz w:val="20"/>
          <w:szCs w:val="20"/>
        </w:rPr>
        <w:t>12</w:t>
      </w:r>
      <w:r w:rsidRPr="009C58C3">
        <w:rPr>
          <w:rFonts w:ascii="Arial" w:hAnsi="Arial" w:cs="Arial"/>
          <w:bCs/>
          <w:i/>
          <w:iCs/>
          <w:sz w:val="20"/>
          <w:szCs w:val="20"/>
        </w:rPr>
        <w:t xml:space="preserve">: </w:t>
      </w:r>
      <w:r w:rsidR="009F7AAA">
        <w:rPr>
          <w:rFonts w:ascii="Arial" w:hAnsi="Arial" w:cs="Arial"/>
          <w:bCs/>
          <w:i/>
          <w:iCs/>
          <w:sz w:val="20"/>
          <w:szCs w:val="20"/>
        </w:rPr>
        <w:t>I</w:t>
      </w:r>
      <w:r w:rsidR="009F7AAA" w:rsidRPr="009F7AAA">
        <w:rPr>
          <w:rFonts w:ascii="Arial" w:hAnsi="Arial" w:cs="Arial"/>
          <w:bCs/>
          <w:i/>
          <w:iCs/>
          <w:sz w:val="20"/>
          <w:szCs w:val="20"/>
        </w:rPr>
        <w:t xml:space="preserve">t would not be worth RAN4’s time and efforts to continue introducing UL duty-cycle </w:t>
      </w:r>
      <w:r w:rsidR="00B80498">
        <w:rPr>
          <w:rFonts w:ascii="Arial" w:hAnsi="Arial" w:cs="Arial"/>
          <w:bCs/>
          <w:i/>
          <w:iCs/>
          <w:sz w:val="20"/>
          <w:szCs w:val="20"/>
        </w:rPr>
        <w:t xml:space="preserve">with </w:t>
      </w:r>
      <w:r w:rsidR="00B80498" w:rsidRPr="009F7AAA">
        <w:rPr>
          <w:rFonts w:ascii="Arial" w:hAnsi="Arial" w:cs="Arial"/>
          <w:bCs/>
          <w:i/>
          <w:iCs/>
          <w:sz w:val="20"/>
          <w:szCs w:val="20"/>
        </w:rPr>
        <w:t>ΔP</w:t>
      </w:r>
      <w:r w:rsidR="00B80498" w:rsidRPr="009F7AAA">
        <w:rPr>
          <w:rFonts w:ascii="Arial" w:hAnsi="Arial" w:cs="Arial"/>
          <w:bCs/>
          <w:i/>
          <w:iCs/>
          <w:sz w:val="20"/>
          <w:szCs w:val="20"/>
          <w:vertAlign w:val="subscript"/>
        </w:rPr>
        <w:t>PowerClass</w:t>
      </w:r>
      <w:r w:rsidR="00B80498" w:rsidRPr="009F7AAA">
        <w:rPr>
          <w:rFonts w:ascii="Arial" w:hAnsi="Arial" w:cs="Arial"/>
          <w:bCs/>
          <w:i/>
          <w:iCs/>
          <w:sz w:val="20"/>
          <w:szCs w:val="20"/>
        </w:rPr>
        <w:t xml:space="preserve"> </w:t>
      </w:r>
      <w:r w:rsidR="009F7AAA" w:rsidRPr="009F7AAA">
        <w:rPr>
          <w:rFonts w:ascii="Arial" w:hAnsi="Arial" w:cs="Arial"/>
          <w:bCs/>
          <w:i/>
          <w:iCs/>
          <w:sz w:val="20"/>
          <w:szCs w:val="20"/>
        </w:rPr>
        <w:t xml:space="preserve">based </w:t>
      </w:r>
      <w:r w:rsidR="00B80498">
        <w:rPr>
          <w:rFonts w:ascii="Arial" w:hAnsi="Arial" w:cs="Arial"/>
          <w:bCs/>
          <w:i/>
          <w:iCs/>
          <w:sz w:val="20"/>
          <w:szCs w:val="20"/>
        </w:rPr>
        <w:t xml:space="preserve">SAR </w:t>
      </w:r>
      <w:r w:rsidR="009F7AAA" w:rsidRPr="009F7AAA">
        <w:rPr>
          <w:rFonts w:ascii="Arial" w:hAnsi="Arial" w:cs="Arial"/>
          <w:bCs/>
          <w:i/>
          <w:iCs/>
          <w:sz w:val="20"/>
          <w:szCs w:val="20"/>
        </w:rPr>
        <w:t>solution for any new HPUE CA/DC UL configuration in Rel-19 and going forward.</w:t>
      </w:r>
    </w:p>
    <w:p w14:paraId="06296836" w14:textId="77777777" w:rsidR="008979DE" w:rsidRDefault="008979DE" w:rsidP="008979DE">
      <w:pPr>
        <w:jc w:val="both"/>
        <w:rPr>
          <w:rFonts w:ascii="Arial" w:hAnsi="Arial" w:cs="Arial"/>
          <w:sz w:val="20"/>
          <w:szCs w:val="20"/>
        </w:rPr>
      </w:pPr>
    </w:p>
    <w:p w14:paraId="286B8A57" w14:textId="02932D40" w:rsidR="005E71D6" w:rsidRPr="00B50471" w:rsidRDefault="008979DE" w:rsidP="005E71D6">
      <w:pPr>
        <w:spacing w:after="120"/>
        <w:jc w:val="both"/>
        <w:rPr>
          <w:rFonts w:ascii="Arial" w:hAnsi="Arial" w:cs="Arial"/>
          <w:bCs/>
          <w:i/>
          <w:iCs/>
          <w:sz w:val="20"/>
          <w:szCs w:val="20"/>
        </w:rPr>
      </w:pPr>
      <w:r>
        <w:rPr>
          <w:rFonts w:ascii="Arial" w:hAnsi="Arial" w:cs="Arial"/>
          <w:b/>
          <w:i/>
          <w:iCs/>
          <w:sz w:val="20"/>
          <w:szCs w:val="20"/>
        </w:rPr>
        <w:t>Proposal</w:t>
      </w:r>
      <w:r w:rsidRPr="00CE1748">
        <w:rPr>
          <w:rFonts w:ascii="Arial" w:hAnsi="Arial" w:cs="Arial"/>
          <w:bCs/>
          <w:i/>
          <w:iCs/>
          <w:sz w:val="20"/>
          <w:szCs w:val="20"/>
        </w:rPr>
        <w:t xml:space="preserve">: </w:t>
      </w:r>
      <w:r w:rsidR="00B80498">
        <w:rPr>
          <w:rFonts w:ascii="Arial" w:hAnsi="Arial" w:cs="Arial"/>
          <w:bCs/>
          <w:i/>
          <w:iCs/>
          <w:sz w:val="20"/>
          <w:szCs w:val="20"/>
        </w:rPr>
        <w:t>RAN4 do not</w:t>
      </w:r>
      <w:r w:rsidR="00B80498" w:rsidRPr="00B80498">
        <w:rPr>
          <w:rFonts w:ascii="Arial" w:hAnsi="Arial" w:cs="Arial"/>
          <w:bCs/>
          <w:i/>
          <w:iCs/>
          <w:sz w:val="20"/>
          <w:szCs w:val="20"/>
        </w:rPr>
        <w:t xml:space="preserve"> consider UL duty-cycle </w:t>
      </w:r>
      <w:r w:rsidR="00B80498">
        <w:rPr>
          <w:rFonts w:ascii="Arial" w:hAnsi="Arial" w:cs="Arial"/>
          <w:bCs/>
          <w:i/>
          <w:iCs/>
          <w:sz w:val="20"/>
          <w:szCs w:val="20"/>
        </w:rPr>
        <w:t>with</w:t>
      </w:r>
      <w:r w:rsidR="00B80498" w:rsidRPr="00B80498">
        <w:rPr>
          <w:rFonts w:ascii="Arial" w:hAnsi="Arial" w:cs="Arial"/>
          <w:bCs/>
          <w:i/>
          <w:iCs/>
          <w:sz w:val="20"/>
          <w:szCs w:val="20"/>
        </w:rPr>
        <w:t xml:space="preserve"> ΔP</w:t>
      </w:r>
      <w:r w:rsidR="00B80498" w:rsidRPr="00B80498">
        <w:rPr>
          <w:rFonts w:ascii="Arial" w:hAnsi="Arial" w:cs="Arial"/>
          <w:bCs/>
          <w:i/>
          <w:iCs/>
          <w:sz w:val="20"/>
          <w:szCs w:val="20"/>
          <w:vertAlign w:val="subscript"/>
        </w:rPr>
        <w:t>PowerClass</w:t>
      </w:r>
      <w:r w:rsidR="00B80498" w:rsidRPr="00B80498">
        <w:rPr>
          <w:rFonts w:ascii="Arial" w:hAnsi="Arial" w:cs="Arial"/>
          <w:bCs/>
          <w:i/>
          <w:iCs/>
          <w:sz w:val="20"/>
          <w:szCs w:val="20"/>
        </w:rPr>
        <w:t xml:space="preserve"> </w:t>
      </w:r>
      <w:r w:rsidR="00B80498">
        <w:rPr>
          <w:rFonts w:ascii="Arial" w:hAnsi="Arial" w:cs="Arial"/>
          <w:bCs/>
          <w:i/>
          <w:iCs/>
          <w:sz w:val="20"/>
          <w:szCs w:val="20"/>
        </w:rPr>
        <w:t xml:space="preserve">based SAR solution </w:t>
      </w:r>
      <w:r w:rsidR="00B80498" w:rsidRPr="009F7AAA">
        <w:rPr>
          <w:rFonts w:ascii="Arial" w:hAnsi="Arial" w:cs="Arial"/>
          <w:bCs/>
          <w:i/>
          <w:iCs/>
          <w:sz w:val="20"/>
          <w:szCs w:val="20"/>
        </w:rPr>
        <w:t>for any new HPUE CA/DC UL configuration in Rel-19 and going forward.</w:t>
      </w:r>
      <w:r>
        <w:rPr>
          <w:rFonts w:ascii="Arial" w:hAnsi="Arial" w:cs="Arial"/>
          <w:bCs/>
          <w:i/>
          <w:iCs/>
          <w:sz w:val="20"/>
          <w:szCs w:val="20"/>
        </w:rPr>
        <w:t xml:space="preserve"> </w:t>
      </w:r>
      <w:r w:rsidR="00AD0936">
        <w:rPr>
          <w:rFonts w:ascii="Arial" w:hAnsi="Arial" w:cs="Arial"/>
          <w:sz w:val="20"/>
          <w:szCs w:val="20"/>
        </w:rPr>
        <w:t xml:space="preserve">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5004C865" w:rsidR="006D7B72" w:rsidRPr="00BA50B0" w:rsidRDefault="00D27680" w:rsidP="00C358C6">
      <w:pPr>
        <w:spacing w:after="120"/>
        <w:jc w:val="both"/>
        <w:rPr>
          <w:rFonts w:ascii="Arial" w:hAnsi="Arial" w:cs="Arial"/>
          <w:bCs/>
          <w:sz w:val="20"/>
          <w:szCs w:val="20"/>
        </w:rPr>
      </w:pPr>
      <w:r>
        <w:rPr>
          <w:rFonts w:ascii="Arial" w:hAnsi="Arial" w:cs="Arial"/>
          <w:sz w:val="20"/>
          <w:szCs w:val="20"/>
        </w:rPr>
        <w:t>In this contribution, we share our views on the SAR compliance aspect for HPUE CA/DC combinations and propose not to further consider UL duty-cycle with ΔP</w:t>
      </w:r>
      <w:r w:rsidRPr="00814317">
        <w:rPr>
          <w:rFonts w:ascii="Arial" w:hAnsi="Arial" w:cs="Arial"/>
          <w:sz w:val="20"/>
          <w:szCs w:val="20"/>
          <w:vertAlign w:val="subscript"/>
        </w:rPr>
        <w:t>PowerClass</w:t>
      </w:r>
      <w:r>
        <w:rPr>
          <w:rFonts w:ascii="Arial" w:hAnsi="Arial" w:cs="Arial"/>
          <w:sz w:val="20"/>
          <w:szCs w:val="20"/>
        </w:rPr>
        <w:t xml:space="preserve"> for SAR mitigation from Rel-19 and going forward.</w:t>
      </w:r>
    </w:p>
    <w:p w14:paraId="284501E7" w14:textId="77777777" w:rsidR="00DB0BC8" w:rsidRDefault="00DB0BC8" w:rsidP="00DB0BC8">
      <w:pPr>
        <w:jc w:val="both"/>
        <w:rPr>
          <w:rFonts w:ascii="Arial" w:hAnsi="Arial" w:cs="Arial"/>
          <w:sz w:val="20"/>
          <w:szCs w:val="20"/>
          <w:lang w:val="en-GB"/>
        </w:rPr>
      </w:pPr>
    </w:p>
    <w:p w14:paraId="3C3C6533" w14:textId="5C0F5FE3" w:rsidR="008A3AE7" w:rsidRPr="00191285" w:rsidRDefault="00B80498" w:rsidP="008A3AE7">
      <w:pPr>
        <w:spacing w:after="120"/>
        <w:jc w:val="both"/>
        <w:rPr>
          <w:rFonts w:ascii="Arial" w:hAnsi="Arial" w:cs="Arial"/>
          <w:bCs/>
          <w:i/>
          <w:iCs/>
          <w:sz w:val="20"/>
          <w:szCs w:val="20"/>
        </w:rPr>
      </w:pPr>
      <w:r w:rsidRPr="00BA4767">
        <w:rPr>
          <w:rFonts w:ascii="Arial" w:hAnsi="Arial" w:cs="Arial"/>
          <w:b/>
          <w:i/>
          <w:iCs/>
          <w:sz w:val="20"/>
          <w:szCs w:val="20"/>
        </w:rPr>
        <w:t>Observation 1</w:t>
      </w:r>
      <w:r w:rsidRPr="00BA4767">
        <w:rPr>
          <w:rFonts w:ascii="Arial" w:hAnsi="Arial" w:cs="Arial"/>
          <w:bCs/>
          <w:i/>
          <w:iCs/>
          <w:sz w:val="20"/>
          <w:szCs w:val="20"/>
        </w:rPr>
        <w:t>: The term “SAR” has never been officially defined in 3GPP specifications, instead, it is simply referred as the “applicable electromagnetic energy absorption requirements” but without explicit value specified.</w:t>
      </w:r>
    </w:p>
    <w:p w14:paraId="74033B5A" w14:textId="77777777" w:rsidR="008A3AE7" w:rsidRDefault="008A3AE7" w:rsidP="008A3AE7">
      <w:pPr>
        <w:jc w:val="both"/>
        <w:rPr>
          <w:rFonts w:ascii="Arial" w:hAnsi="Arial" w:cs="Arial"/>
          <w:bCs/>
          <w:sz w:val="20"/>
          <w:szCs w:val="20"/>
        </w:rPr>
      </w:pPr>
    </w:p>
    <w:p w14:paraId="53CC4062" w14:textId="77777777" w:rsidR="00B80498" w:rsidRDefault="00B80498" w:rsidP="00B80498">
      <w:pPr>
        <w:spacing w:after="120"/>
        <w:jc w:val="both"/>
        <w:rPr>
          <w:rFonts w:ascii="Arial" w:hAnsi="Arial" w:cs="Arial"/>
          <w:bCs/>
          <w:sz w:val="20"/>
          <w:szCs w:val="20"/>
        </w:rPr>
      </w:pPr>
      <w:r w:rsidRPr="00BA4767">
        <w:rPr>
          <w:rFonts w:ascii="Arial" w:hAnsi="Arial" w:cs="Arial"/>
          <w:b/>
          <w:i/>
          <w:iCs/>
          <w:sz w:val="20"/>
          <w:szCs w:val="20"/>
        </w:rPr>
        <w:t xml:space="preserve">Observation </w:t>
      </w:r>
      <w:r>
        <w:rPr>
          <w:rFonts w:ascii="Arial" w:hAnsi="Arial" w:cs="Arial"/>
          <w:b/>
          <w:i/>
          <w:iCs/>
          <w:sz w:val="20"/>
          <w:szCs w:val="20"/>
        </w:rPr>
        <w:t>2</w:t>
      </w:r>
      <w:r w:rsidRPr="00BA4767">
        <w:rPr>
          <w:rFonts w:ascii="Arial" w:hAnsi="Arial" w:cs="Arial"/>
          <w:bCs/>
          <w:i/>
          <w:iCs/>
          <w:sz w:val="20"/>
          <w:szCs w:val="20"/>
        </w:rPr>
        <w:t>: In 3GPP, the SAR issue has been made more aware since the HPUE was first introduced in LTE for handheld devices.</w:t>
      </w:r>
    </w:p>
    <w:p w14:paraId="5DCEDF8B" w14:textId="77777777" w:rsidR="00B80498" w:rsidRDefault="00B80498" w:rsidP="00B80498">
      <w:pPr>
        <w:jc w:val="both"/>
        <w:rPr>
          <w:rFonts w:ascii="Arial" w:hAnsi="Arial" w:cs="Arial"/>
          <w:bCs/>
          <w:sz w:val="20"/>
          <w:szCs w:val="20"/>
        </w:rPr>
      </w:pPr>
    </w:p>
    <w:p w14:paraId="1169ABB4" w14:textId="6462BF92" w:rsidR="008A3AE7" w:rsidRDefault="00B80498" w:rsidP="00B80498">
      <w:pPr>
        <w:spacing w:after="120"/>
        <w:jc w:val="both"/>
        <w:rPr>
          <w:rFonts w:ascii="Arial" w:hAnsi="Arial" w:cs="Arial"/>
          <w:bCs/>
          <w:sz w:val="20"/>
          <w:szCs w:val="20"/>
        </w:rPr>
      </w:pPr>
      <w:r w:rsidRPr="00BA4767">
        <w:rPr>
          <w:rFonts w:ascii="Arial" w:hAnsi="Arial" w:cs="Arial"/>
          <w:b/>
          <w:i/>
          <w:iCs/>
          <w:sz w:val="20"/>
          <w:szCs w:val="20"/>
        </w:rPr>
        <w:t xml:space="preserve">Observation </w:t>
      </w:r>
      <w:r>
        <w:rPr>
          <w:rFonts w:ascii="Arial" w:hAnsi="Arial" w:cs="Arial"/>
          <w:b/>
          <w:i/>
          <w:iCs/>
          <w:sz w:val="20"/>
          <w:szCs w:val="20"/>
        </w:rPr>
        <w:t>3</w:t>
      </w:r>
      <w:r w:rsidRPr="00BA4767">
        <w:rPr>
          <w:rFonts w:ascii="Arial" w:hAnsi="Arial" w:cs="Arial"/>
          <w:bCs/>
          <w:i/>
          <w:iCs/>
          <w:sz w:val="20"/>
          <w:szCs w:val="20"/>
        </w:rPr>
        <w:t>: In fact, even before the introduction of HPUE, SAR mitigation has already been considered in 3GPP specifications, which is known as the P-MPR solution.</w:t>
      </w:r>
    </w:p>
    <w:p w14:paraId="1DECDE60" w14:textId="77777777" w:rsidR="008A3AE7" w:rsidRDefault="008A3AE7" w:rsidP="008A3AE7">
      <w:pPr>
        <w:jc w:val="both"/>
        <w:rPr>
          <w:rFonts w:ascii="Arial" w:hAnsi="Arial" w:cs="Arial"/>
          <w:bCs/>
          <w:sz w:val="20"/>
          <w:szCs w:val="20"/>
        </w:rPr>
      </w:pPr>
    </w:p>
    <w:p w14:paraId="703342FC" w14:textId="77777777" w:rsidR="005F73EC" w:rsidRPr="00D27680" w:rsidRDefault="005F73EC" w:rsidP="005F73EC">
      <w:pPr>
        <w:spacing w:after="120"/>
        <w:jc w:val="both"/>
        <w:rPr>
          <w:rFonts w:ascii="Arial" w:hAnsi="Arial" w:cs="Arial"/>
          <w:bCs/>
          <w:i/>
          <w:iCs/>
          <w:sz w:val="20"/>
          <w:szCs w:val="20"/>
        </w:rPr>
      </w:pPr>
      <w:r w:rsidRPr="00D27680">
        <w:rPr>
          <w:rFonts w:ascii="Arial" w:hAnsi="Arial" w:cs="Arial"/>
          <w:b/>
          <w:i/>
          <w:iCs/>
          <w:sz w:val="20"/>
          <w:szCs w:val="20"/>
        </w:rPr>
        <w:t>Observation 4</w:t>
      </w:r>
      <w:r w:rsidRPr="00D27680">
        <w:rPr>
          <w:rFonts w:ascii="Arial" w:hAnsi="Arial" w:cs="Arial"/>
          <w:bCs/>
          <w:i/>
          <w:iCs/>
          <w:sz w:val="20"/>
          <w:szCs w:val="20"/>
        </w:rPr>
        <w:t>: If network has to accommodate different UEs with different maximum UL duty cycle capabilities, it may heavily constrain network’s scheduling flexibility.</w:t>
      </w:r>
    </w:p>
    <w:p w14:paraId="799DACF6" w14:textId="77777777" w:rsidR="005F73EC" w:rsidRPr="00E7747C" w:rsidRDefault="005F73EC" w:rsidP="005F73EC">
      <w:pPr>
        <w:jc w:val="both"/>
        <w:rPr>
          <w:rFonts w:ascii="Arial" w:hAnsi="Arial" w:cs="Arial"/>
          <w:bCs/>
          <w:sz w:val="20"/>
          <w:szCs w:val="20"/>
        </w:rPr>
      </w:pPr>
    </w:p>
    <w:p w14:paraId="31015D78" w14:textId="77777777" w:rsidR="005F73EC" w:rsidRDefault="005F73EC" w:rsidP="005F73EC">
      <w:pPr>
        <w:spacing w:after="120"/>
        <w:jc w:val="both"/>
        <w:rPr>
          <w:rFonts w:ascii="Arial" w:hAnsi="Arial" w:cs="Arial"/>
          <w:bCs/>
          <w:i/>
          <w:iCs/>
          <w:sz w:val="20"/>
          <w:szCs w:val="20"/>
        </w:rPr>
      </w:pPr>
      <w:r>
        <w:rPr>
          <w:rFonts w:ascii="Arial" w:hAnsi="Arial" w:cs="Arial"/>
          <w:b/>
          <w:i/>
          <w:iCs/>
          <w:sz w:val="20"/>
          <w:szCs w:val="20"/>
        </w:rPr>
        <w:lastRenderedPageBreak/>
        <w:t>Observation 5</w:t>
      </w:r>
      <w:r>
        <w:rPr>
          <w:rFonts w:ascii="Arial" w:hAnsi="Arial" w:cs="Arial"/>
          <w:bCs/>
          <w:i/>
          <w:iCs/>
          <w:sz w:val="20"/>
          <w:szCs w:val="20"/>
        </w:rPr>
        <w:t xml:space="preserve">: </w:t>
      </w:r>
      <w:r w:rsidRPr="00E7747C">
        <w:rPr>
          <w:rFonts w:ascii="Arial" w:hAnsi="Arial" w:cs="Arial"/>
          <w:bCs/>
          <w:i/>
          <w:iCs/>
          <w:sz w:val="20"/>
          <w:szCs w:val="20"/>
        </w:rPr>
        <w:t>UE maximum UL duty cycle capability has never been considered in network for UL scheduling</w:t>
      </w:r>
      <w:r>
        <w:rPr>
          <w:rFonts w:ascii="Arial" w:hAnsi="Arial" w:cs="Arial"/>
          <w:bCs/>
          <w:i/>
          <w:iCs/>
          <w:sz w:val="20"/>
          <w:szCs w:val="20"/>
        </w:rPr>
        <w:t xml:space="preserve"> to assist UE on mitigating SAR issue.</w:t>
      </w:r>
    </w:p>
    <w:p w14:paraId="1C6B8110" w14:textId="77777777" w:rsidR="005F73EC" w:rsidRPr="00E7747C" w:rsidRDefault="005F73EC" w:rsidP="005F73EC">
      <w:pPr>
        <w:jc w:val="both"/>
        <w:rPr>
          <w:rFonts w:ascii="Arial" w:hAnsi="Arial" w:cs="Arial"/>
          <w:bCs/>
          <w:sz w:val="20"/>
          <w:szCs w:val="20"/>
        </w:rPr>
      </w:pPr>
    </w:p>
    <w:p w14:paraId="6234CC1E" w14:textId="63430CB1" w:rsidR="00067BF7" w:rsidRDefault="005F73EC" w:rsidP="005F73EC">
      <w:pPr>
        <w:spacing w:after="120"/>
        <w:jc w:val="both"/>
        <w:rPr>
          <w:rFonts w:ascii="Arial" w:hAnsi="Arial" w:cs="Arial"/>
          <w:bCs/>
          <w:i/>
          <w:iCs/>
          <w:sz w:val="20"/>
          <w:szCs w:val="20"/>
        </w:rPr>
      </w:pPr>
      <w:r>
        <w:rPr>
          <w:rFonts w:ascii="Arial" w:hAnsi="Arial" w:cs="Arial"/>
          <w:b/>
          <w:i/>
          <w:iCs/>
          <w:sz w:val="20"/>
          <w:szCs w:val="20"/>
        </w:rPr>
        <w:t>Observation 6</w:t>
      </w:r>
      <w:r>
        <w:rPr>
          <w:rFonts w:ascii="Arial" w:hAnsi="Arial" w:cs="Arial"/>
          <w:bCs/>
          <w:i/>
          <w:iCs/>
          <w:sz w:val="20"/>
          <w:szCs w:val="20"/>
        </w:rPr>
        <w:t>: T</w:t>
      </w:r>
      <w:r w:rsidRPr="00BA11CA">
        <w:rPr>
          <w:rFonts w:ascii="Arial" w:hAnsi="Arial" w:cs="Arial"/>
          <w:bCs/>
          <w:i/>
          <w:iCs/>
          <w:sz w:val="20"/>
          <w:szCs w:val="20"/>
        </w:rPr>
        <w:t>he so-called UL duty-cycle solution for SAR mitigation is only UE based</w:t>
      </w:r>
      <w:r>
        <w:rPr>
          <w:rFonts w:ascii="Arial" w:hAnsi="Arial" w:cs="Arial"/>
          <w:bCs/>
          <w:i/>
          <w:iCs/>
          <w:sz w:val="20"/>
          <w:szCs w:val="20"/>
        </w:rPr>
        <w:t xml:space="preserve">, </w:t>
      </w:r>
      <w:r w:rsidRPr="00BA11CA">
        <w:rPr>
          <w:rFonts w:ascii="Arial" w:hAnsi="Arial" w:cs="Arial"/>
          <w:bCs/>
          <w:i/>
          <w:iCs/>
          <w:sz w:val="20"/>
          <w:szCs w:val="20"/>
        </w:rPr>
        <w:t>but not network based</w:t>
      </w:r>
      <w:r>
        <w:rPr>
          <w:rFonts w:ascii="Arial" w:hAnsi="Arial" w:cs="Arial"/>
          <w:bCs/>
          <w:i/>
          <w:iCs/>
          <w:sz w:val="20"/>
          <w:szCs w:val="20"/>
        </w:rPr>
        <w:t>.</w:t>
      </w:r>
    </w:p>
    <w:p w14:paraId="4B40CE42" w14:textId="77777777" w:rsidR="005F73EC" w:rsidRDefault="005F73EC" w:rsidP="005F73EC">
      <w:pPr>
        <w:jc w:val="both"/>
        <w:rPr>
          <w:rFonts w:ascii="Arial" w:hAnsi="Arial" w:cs="Arial"/>
          <w:bCs/>
          <w:sz w:val="20"/>
          <w:szCs w:val="20"/>
        </w:rPr>
      </w:pPr>
    </w:p>
    <w:p w14:paraId="0620BA8E" w14:textId="6BE205E4" w:rsidR="009F2575" w:rsidRPr="009C58C3" w:rsidRDefault="00B97F94" w:rsidP="008A3AE7">
      <w:pPr>
        <w:spacing w:after="120"/>
        <w:jc w:val="both"/>
        <w:rPr>
          <w:rFonts w:ascii="Arial" w:hAnsi="Arial" w:cs="Arial"/>
          <w:bCs/>
          <w:i/>
          <w:iCs/>
          <w:sz w:val="20"/>
          <w:szCs w:val="20"/>
        </w:rPr>
      </w:pPr>
      <w:r>
        <w:rPr>
          <w:rFonts w:ascii="Arial" w:hAnsi="Arial" w:cs="Arial"/>
          <w:b/>
          <w:i/>
          <w:iCs/>
          <w:sz w:val="20"/>
          <w:szCs w:val="20"/>
        </w:rPr>
        <w:t xml:space="preserve">Observation </w:t>
      </w:r>
      <w:r w:rsidR="005F73EC">
        <w:rPr>
          <w:rFonts w:ascii="Arial" w:hAnsi="Arial" w:cs="Arial"/>
          <w:b/>
          <w:i/>
          <w:iCs/>
          <w:sz w:val="20"/>
          <w:szCs w:val="20"/>
        </w:rPr>
        <w:t>7</w:t>
      </w:r>
      <w:r>
        <w:rPr>
          <w:rFonts w:ascii="Arial" w:hAnsi="Arial" w:cs="Arial"/>
          <w:bCs/>
          <w:i/>
          <w:iCs/>
          <w:sz w:val="20"/>
          <w:szCs w:val="20"/>
        </w:rPr>
        <w:t xml:space="preserve">: </w:t>
      </w:r>
      <w:r w:rsidRPr="00B97F94">
        <w:rPr>
          <w:rFonts w:ascii="Arial" w:hAnsi="Arial" w:cs="Arial"/>
          <w:bCs/>
          <w:i/>
          <w:iCs/>
          <w:sz w:val="20"/>
          <w:szCs w:val="20"/>
        </w:rPr>
        <w:t>UL duty-cycle solution with ΔP</w:t>
      </w:r>
      <w:r w:rsidRPr="00B97F94">
        <w:rPr>
          <w:rFonts w:ascii="Arial" w:hAnsi="Arial" w:cs="Arial"/>
          <w:bCs/>
          <w:i/>
          <w:iCs/>
          <w:sz w:val="20"/>
          <w:szCs w:val="20"/>
          <w:vertAlign w:val="subscript"/>
        </w:rPr>
        <w:t>PowerClass</w:t>
      </w:r>
      <w:r>
        <w:rPr>
          <w:rFonts w:ascii="Arial" w:hAnsi="Arial" w:cs="Arial"/>
          <w:bCs/>
          <w:i/>
          <w:iCs/>
          <w:sz w:val="20"/>
          <w:szCs w:val="20"/>
        </w:rPr>
        <w:t xml:space="preserve"> is only a subset of P-MPR solution.</w:t>
      </w:r>
    </w:p>
    <w:p w14:paraId="30A18B31" w14:textId="77777777" w:rsidR="009F2575" w:rsidRDefault="009F2575" w:rsidP="009F2575">
      <w:pPr>
        <w:jc w:val="both"/>
        <w:rPr>
          <w:rFonts w:ascii="Arial" w:hAnsi="Arial" w:cs="Arial"/>
          <w:bCs/>
          <w:sz w:val="20"/>
          <w:szCs w:val="20"/>
        </w:rPr>
      </w:pPr>
    </w:p>
    <w:p w14:paraId="187FD83F" w14:textId="67EBBF7A" w:rsidR="007E3BEE" w:rsidRPr="00C57E50" w:rsidRDefault="00EE6EE3" w:rsidP="009F2575">
      <w:pPr>
        <w:spacing w:after="120"/>
        <w:jc w:val="both"/>
        <w:rPr>
          <w:rFonts w:ascii="Arial" w:hAnsi="Arial" w:cs="Arial"/>
          <w:i/>
          <w:iCs/>
          <w:sz w:val="20"/>
          <w:szCs w:val="20"/>
        </w:rPr>
      </w:pPr>
      <w:r w:rsidRPr="00BA4767">
        <w:rPr>
          <w:rFonts w:ascii="Arial" w:hAnsi="Arial" w:cs="Arial"/>
          <w:b/>
          <w:i/>
          <w:iCs/>
          <w:sz w:val="20"/>
          <w:szCs w:val="20"/>
        </w:rPr>
        <w:t xml:space="preserve">Observation </w:t>
      </w:r>
      <w:r>
        <w:rPr>
          <w:rFonts w:ascii="Arial" w:hAnsi="Arial" w:cs="Arial"/>
          <w:b/>
          <w:i/>
          <w:iCs/>
          <w:sz w:val="20"/>
          <w:szCs w:val="20"/>
        </w:rPr>
        <w:t>8</w:t>
      </w:r>
      <w:r w:rsidRPr="00BA4767">
        <w:rPr>
          <w:rFonts w:ascii="Arial" w:hAnsi="Arial" w:cs="Arial"/>
          <w:bCs/>
          <w:i/>
          <w:iCs/>
          <w:sz w:val="20"/>
          <w:szCs w:val="20"/>
        </w:rPr>
        <w:t xml:space="preserve">: </w:t>
      </w:r>
      <w:r>
        <w:rPr>
          <w:rFonts w:ascii="Arial" w:hAnsi="Arial" w:cs="Arial"/>
          <w:bCs/>
          <w:i/>
          <w:iCs/>
          <w:sz w:val="20"/>
          <w:szCs w:val="20"/>
        </w:rPr>
        <w:t xml:space="preserve">For PC2 UE, </w:t>
      </w:r>
      <w:r w:rsidRPr="00B97F94">
        <w:rPr>
          <w:rFonts w:ascii="Arial" w:hAnsi="Arial" w:cs="Arial"/>
          <w:bCs/>
          <w:i/>
          <w:iCs/>
          <w:sz w:val="20"/>
          <w:szCs w:val="20"/>
        </w:rPr>
        <w:t>UL duty-cycle solution with ΔP</w:t>
      </w:r>
      <w:r w:rsidRPr="00B97F94">
        <w:rPr>
          <w:rFonts w:ascii="Arial" w:hAnsi="Arial" w:cs="Arial"/>
          <w:bCs/>
          <w:i/>
          <w:iCs/>
          <w:sz w:val="20"/>
          <w:szCs w:val="20"/>
          <w:vertAlign w:val="subscript"/>
        </w:rPr>
        <w:t>PowerClass</w:t>
      </w:r>
      <w:r w:rsidRPr="00B97F94">
        <w:rPr>
          <w:rFonts w:ascii="Arial" w:hAnsi="Arial" w:cs="Arial"/>
          <w:bCs/>
          <w:i/>
          <w:iCs/>
          <w:sz w:val="20"/>
          <w:szCs w:val="20"/>
        </w:rPr>
        <w:t xml:space="preserve"> has worse UL efficiency as compared to P-MPR solution for UL duty cycle between 50% and 100%</w:t>
      </w:r>
      <w:r w:rsidRPr="00BA4767">
        <w:rPr>
          <w:rFonts w:ascii="Arial" w:hAnsi="Arial" w:cs="Arial"/>
          <w:bCs/>
          <w:i/>
          <w:iCs/>
          <w:sz w:val="20"/>
          <w:szCs w:val="20"/>
        </w:rPr>
        <w:t>.</w:t>
      </w:r>
    </w:p>
    <w:p w14:paraId="6BED450C" w14:textId="77777777" w:rsidR="00C57E50" w:rsidRDefault="00C57E50" w:rsidP="007E3BEE">
      <w:pPr>
        <w:jc w:val="both"/>
        <w:rPr>
          <w:rFonts w:ascii="Arial" w:hAnsi="Arial" w:cs="Arial"/>
          <w:sz w:val="20"/>
          <w:szCs w:val="20"/>
        </w:rPr>
      </w:pPr>
    </w:p>
    <w:p w14:paraId="251938DD" w14:textId="3E5D0EF3" w:rsidR="009F2575" w:rsidRDefault="00F40F9E" w:rsidP="009F2575">
      <w:pPr>
        <w:spacing w:after="120"/>
        <w:jc w:val="both"/>
        <w:rPr>
          <w:rFonts w:ascii="Arial" w:hAnsi="Arial" w:cs="Arial"/>
          <w:bCs/>
          <w:i/>
          <w:iCs/>
          <w:sz w:val="20"/>
          <w:szCs w:val="20"/>
        </w:rPr>
      </w:pPr>
      <w:r w:rsidRPr="00BA4767">
        <w:rPr>
          <w:rFonts w:ascii="Arial" w:hAnsi="Arial" w:cs="Arial"/>
          <w:b/>
          <w:i/>
          <w:iCs/>
          <w:sz w:val="20"/>
          <w:szCs w:val="20"/>
        </w:rPr>
        <w:t xml:space="preserve">Observation </w:t>
      </w:r>
      <w:r w:rsidR="005F73EC">
        <w:rPr>
          <w:rFonts w:ascii="Arial" w:hAnsi="Arial" w:cs="Arial"/>
          <w:b/>
          <w:i/>
          <w:iCs/>
          <w:sz w:val="20"/>
          <w:szCs w:val="20"/>
        </w:rPr>
        <w:t>9</w:t>
      </w:r>
      <w:r w:rsidRPr="00BA4767">
        <w:rPr>
          <w:rFonts w:ascii="Arial" w:hAnsi="Arial" w:cs="Arial"/>
          <w:bCs/>
          <w:i/>
          <w:iCs/>
          <w:sz w:val="20"/>
          <w:szCs w:val="20"/>
        </w:rPr>
        <w:t xml:space="preserve">: </w:t>
      </w:r>
      <w:r>
        <w:rPr>
          <w:rFonts w:ascii="Arial" w:hAnsi="Arial" w:cs="Arial"/>
          <w:bCs/>
          <w:i/>
          <w:iCs/>
          <w:sz w:val="20"/>
          <w:szCs w:val="20"/>
        </w:rPr>
        <w:t>T</w:t>
      </w:r>
      <w:r w:rsidRPr="009F7AAA">
        <w:rPr>
          <w:rFonts w:ascii="Arial" w:hAnsi="Arial" w:cs="Arial"/>
          <w:bCs/>
          <w:i/>
          <w:iCs/>
          <w:sz w:val="20"/>
          <w:szCs w:val="20"/>
        </w:rPr>
        <w:t>he UL duty-cycle solution with ΔP</w:t>
      </w:r>
      <w:r w:rsidRPr="009F7AAA">
        <w:rPr>
          <w:rFonts w:ascii="Arial" w:hAnsi="Arial" w:cs="Arial"/>
          <w:bCs/>
          <w:i/>
          <w:iCs/>
          <w:sz w:val="20"/>
          <w:szCs w:val="20"/>
          <w:vertAlign w:val="subscript"/>
        </w:rPr>
        <w:t>PowerClass</w:t>
      </w:r>
      <w:r w:rsidRPr="009F7AAA">
        <w:rPr>
          <w:rFonts w:ascii="Arial" w:hAnsi="Arial" w:cs="Arial"/>
          <w:bCs/>
          <w:i/>
          <w:iCs/>
          <w:sz w:val="20"/>
          <w:szCs w:val="20"/>
        </w:rPr>
        <w:t xml:space="preserve"> has been causing a misconception of the so-called “power class fallback” in the current specifications where the UE configured maximum output power reduction would be mistakenly double counted</w:t>
      </w:r>
      <w:r w:rsidRPr="00BA4767">
        <w:rPr>
          <w:rFonts w:ascii="Arial" w:hAnsi="Arial" w:cs="Arial"/>
          <w:bCs/>
          <w:i/>
          <w:iCs/>
          <w:sz w:val="20"/>
          <w:szCs w:val="20"/>
        </w:rPr>
        <w:t>.</w:t>
      </w:r>
    </w:p>
    <w:p w14:paraId="0E20AF9D" w14:textId="77777777" w:rsidR="00472C4E" w:rsidRDefault="00472C4E" w:rsidP="009F2575">
      <w:pPr>
        <w:jc w:val="both"/>
        <w:rPr>
          <w:rFonts w:ascii="Arial" w:hAnsi="Arial" w:cs="Arial"/>
          <w:sz w:val="20"/>
          <w:szCs w:val="20"/>
        </w:rPr>
      </w:pPr>
    </w:p>
    <w:p w14:paraId="007FD7BB" w14:textId="4100D510" w:rsidR="008671F9" w:rsidRPr="00191285" w:rsidRDefault="008671F9" w:rsidP="008671F9">
      <w:pPr>
        <w:spacing w:after="120"/>
        <w:jc w:val="both"/>
        <w:rPr>
          <w:rFonts w:ascii="Arial" w:hAnsi="Arial" w:cs="Arial"/>
          <w:bCs/>
          <w:i/>
          <w:iCs/>
          <w:sz w:val="20"/>
          <w:szCs w:val="20"/>
        </w:rPr>
      </w:pPr>
      <w:r w:rsidRPr="00BA4767">
        <w:rPr>
          <w:rFonts w:ascii="Arial" w:hAnsi="Arial" w:cs="Arial"/>
          <w:b/>
          <w:i/>
          <w:iCs/>
          <w:sz w:val="20"/>
          <w:szCs w:val="20"/>
        </w:rPr>
        <w:t xml:space="preserve">Observation </w:t>
      </w:r>
      <w:r w:rsidR="005F73EC">
        <w:rPr>
          <w:rFonts w:ascii="Arial" w:hAnsi="Arial" w:cs="Arial"/>
          <w:b/>
          <w:i/>
          <w:iCs/>
          <w:sz w:val="20"/>
          <w:szCs w:val="20"/>
        </w:rPr>
        <w:t>10</w:t>
      </w:r>
      <w:r w:rsidRPr="00BA4767">
        <w:rPr>
          <w:rFonts w:ascii="Arial" w:hAnsi="Arial" w:cs="Arial"/>
          <w:bCs/>
          <w:i/>
          <w:iCs/>
          <w:sz w:val="20"/>
          <w:szCs w:val="20"/>
        </w:rPr>
        <w:t xml:space="preserve">: </w:t>
      </w:r>
      <w:r>
        <w:rPr>
          <w:rFonts w:ascii="Arial" w:hAnsi="Arial" w:cs="Arial"/>
          <w:bCs/>
          <w:i/>
          <w:iCs/>
          <w:sz w:val="20"/>
          <w:szCs w:val="20"/>
        </w:rPr>
        <w:t>T</w:t>
      </w:r>
      <w:r w:rsidRPr="009F7AAA">
        <w:rPr>
          <w:rFonts w:ascii="Arial" w:hAnsi="Arial" w:cs="Arial"/>
          <w:bCs/>
          <w:i/>
          <w:iCs/>
          <w:sz w:val="20"/>
          <w:szCs w:val="20"/>
        </w:rPr>
        <w:t>he UL duty-cycle solution with ΔP</w:t>
      </w:r>
      <w:r w:rsidRPr="009F7AAA">
        <w:rPr>
          <w:rFonts w:ascii="Arial" w:hAnsi="Arial" w:cs="Arial"/>
          <w:bCs/>
          <w:i/>
          <w:iCs/>
          <w:sz w:val="20"/>
          <w:szCs w:val="20"/>
          <w:vertAlign w:val="subscript"/>
        </w:rPr>
        <w:t>PowerClass</w:t>
      </w:r>
      <w:r w:rsidRPr="009F7AAA">
        <w:rPr>
          <w:rFonts w:ascii="Arial" w:hAnsi="Arial" w:cs="Arial"/>
          <w:bCs/>
          <w:i/>
          <w:iCs/>
          <w:sz w:val="20"/>
          <w:szCs w:val="20"/>
        </w:rPr>
        <w:t xml:space="preserve"> has never been practically used by any UE in the field to mitigate SAR issue.</w:t>
      </w:r>
    </w:p>
    <w:p w14:paraId="4383C546" w14:textId="77777777" w:rsidR="008671F9" w:rsidRDefault="008671F9" w:rsidP="008671F9">
      <w:pPr>
        <w:jc w:val="both"/>
        <w:rPr>
          <w:rFonts w:ascii="Arial" w:hAnsi="Arial" w:cs="Arial"/>
          <w:bCs/>
          <w:sz w:val="20"/>
          <w:szCs w:val="20"/>
        </w:rPr>
      </w:pPr>
    </w:p>
    <w:p w14:paraId="3133EBF1" w14:textId="10285126" w:rsidR="008671F9" w:rsidRPr="00191285" w:rsidRDefault="008671F9" w:rsidP="008671F9">
      <w:pPr>
        <w:spacing w:after="120"/>
        <w:jc w:val="both"/>
        <w:rPr>
          <w:rFonts w:ascii="Arial" w:hAnsi="Arial" w:cs="Arial"/>
          <w:bCs/>
          <w:i/>
          <w:iCs/>
          <w:sz w:val="20"/>
          <w:szCs w:val="20"/>
        </w:rPr>
      </w:pPr>
      <w:r w:rsidRPr="00BA4767">
        <w:rPr>
          <w:rFonts w:ascii="Arial" w:hAnsi="Arial" w:cs="Arial"/>
          <w:b/>
          <w:i/>
          <w:iCs/>
          <w:sz w:val="20"/>
          <w:szCs w:val="20"/>
        </w:rPr>
        <w:t xml:space="preserve">Observation </w:t>
      </w:r>
      <w:r w:rsidR="005F73EC">
        <w:rPr>
          <w:rFonts w:ascii="Arial" w:hAnsi="Arial" w:cs="Arial"/>
          <w:b/>
          <w:i/>
          <w:iCs/>
          <w:sz w:val="20"/>
          <w:szCs w:val="20"/>
        </w:rPr>
        <w:t>11</w:t>
      </w:r>
      <w:r w:rsidRPr="00BA4767">
        <w:rPr>
          <w:rFonts w:ascii="Arial" w:hAnsi="Arial" w:cs="Arial"/>
          <w:bCs/>
          <w:i/>
          <w:iCs/>
          <w:sz w:val="20"/>
          <w:szCs w:val="20"/>
        </w:rPr>
        <w:t xml:space="preserve">: </w:t>
      </w:r>
      <w:r>
        <w:rPr>
          <w:rFonts w:ascii="Arial" w:hAnsi="Arial" w:cs="Arial"/>
          <w:bCs/>
          <w:i/>
          <w:iCs/>
          <w:sz w:val="20"/>
          <w:szCs w:val="20"/>
        </w:rPr>
        <w:t>T</w:t>
      </w:r>
      <w:r w:rsidRPr="009F7AAA">
        <w:rPr>
          <w:rFonts w:ascii="Arial" w:hAnsi="Arial" w:cs="Arial"/>
          <w:bCs/>
          <w:i/>
          <w:iCs/>
          <w:sz w:val="20"/>
          <w:szCs w:val="20"/>
        </w:rPr>
        <w:t>here is no conformance test case to verify the UL duty-cycle with ΔP</w:t>
      </w:r>
      <w:r w:rsidRPr="009F7AAA">
        <w:rPr>
          <w:rFonts w:ascii="Arial" w:hAnsi="Arial" w:cs="Arial"/>
          <w:bCs/>
          <w:i/>
          <w:iCs/>
          <w:sz w:val="20"/>
          <w:szCs w:val="20"/>
          <w:vertAlign w:val="subscript"/>
        </w:rPr>
        <w:t>PowerClass</w:t>
      </w:r>
      <w:r w:rsidRPr="009F7AAA">
        <w:rPr>
          <w:rFonts w:ascii="Arial" w:hAnsi="Arial" w:cs="Arial"/>
          <w:bCs/>
          <w:i/>
          <w:iCs/>
          <w:sz w:val="20"/>
          <w:szCs w:val="20"/>
        </w:rPr>
        <w:t xml:space="preserve"> requirements.</w:t>
      </w:r>
    </w:p>
    <w:p w14:paraId="2FEF55DE" w14:textId="77777777" w:rsidR="008671F9" w:rsidRDefault="008671F9" w:rsidP="008671F9">
      <w:pPr>
        <w:jc w:val="both"/>
        <w:rPr>
          <w:rFonts w:ascii="Arial" w:hAnsi="Arial" w:cs="Arial"/>
          <w:bCs/>
          <w:sz w:val="20"/>
          <w:szCs w:val="20"/>
        </w:rPr>
      </w:pPr>
    </w:p>
    <w:p w14:paraId="79BF28A7" w14:textId="048FF138" w:rsidR="008A3AE7" w:rsidRDefault="008671F9" w:rsidP="008671F9">
      <w:pPr>
        <w:spacing w:after="120"/>
        <w:jc w:val="both"/>
        <w:rPr>
          <w:rFonts w:ascii="Arial" w:hAnsi="Arial" w:cs="Arial"/>
          <w:sz w:val="20"/>
          <w:szCs w:val="20"/>
        </w:rPr>
      </w:pPr>
      <w:r w:rsidRPr="00191285">
        <w:rPr>
          <w:rFonts w:ascii="Arial" w:hAnsi="Arial" w:cs="Arial"/>
          <w:b/>
          <w:i/>
          <w:iCs/>
          <w:sz w:val="20"/>
          <w:szCs w:val="20"/>
        </w:rPr>
        <w:t xml:space="preserve">Observation </w:t>
      </w:r>
      <w:r w:rsidR="005F73EC">
        <w:rPr>
          <w:rFonts w:ascii="Arial" w:hAnsi="Arial" w:cs="Arial"/>
          <w:b/>
          <w:i/>
          <w:iCs/>
          <w:sz w:val="20"/>
          <w:szCs w:val="20"/>
        </w:rPr>
        <w:t>12</w:t>
      </w:r>
      <w:r w:rsidRPr="009C58C3">
        <w:rPr>
          <w:rFonts w:ascii="Arial" w:hAnsi="Arial" w:cs="Arial"/>
          <w:bCs/>
          <w:i/>
          <w:iCs/>
          <w:sz w:val="20"/>
          <w:szCs w:val="20"/>
        </w:rPr>
        <w:t xml:space="preserve">: </w:t>
      </w:r>
      <w:r>
        <w:rPr>
          <w:rFonts w:ascii="Arial" w:hAnsi="Arial" w:cs="Arial"/>
          <w:bCs/>
          <w:i/>
          <w:iCs/>
          <w:sz w:val="20"/>
          <w:szCs w:val="20"/>
        </w:rPr>
        <w:t>I</w:t>
      </w:r>
      <w:r w:rsidRPr="009F7AAA">
        <w:rPr>
          <w:rFonts w:ascii="Arial" w:hAnsi="Arial" w:cs="Arial"/>
          <w:bCs/>
          <w:i/>
          <w:iCs/>
          <w:sz w:val="20"/>
          <w:szCs w:val="20"/>
        </w:rPr>
        <w:t xml:space="preserve">t would not be worth RAN4’s time and efforts to continue introducing UL duty-cycle </w:t>
      </w:r>
      <w:r>
        <w:rPr>
          <w:rFonts w:ascii="Arial" w:hAnsi="Arial" w:cs="Arial"/>
          <w:bCs/>
          <w:i/>
          <w:iCs/>
          <w:sz w:val="20"/>
          <w:szCs w:val="20"/>
        </w:rPr>
        <w:t xml:space="preserve">with </w:t>
      </w:r>
      <w:r w:rsidRPr="009F7AAA">
        <w:rPr>
          <w:rFonts w:ascii="Arial" w:hAnsi="Arial" w:cs="Arial"/>
          <w:bCs/>
          <w:i/>
          <w:iCs/>
          <w:sz w:val="20"/>
          <w:szCs w:val="20"/>
        </w:rPr>
        <w:t>ΔP</w:t>
      </w:r>
      <w:r w:rsidRPr="009F7AAA">
        <w:rPr>
          <w:rFonts w:ascii="Arial" w:hAnsi="Arial" w:cs="Arial"/>
          <w:bCs/>
          <w:i/>
          <w:iCs/>
          <w:sz w:val="20"/>
          <w:szCs w:val="20"/>
          <w:vertAlign w:val="subscript"/>
        </w:rPr>
        <w:t>PowerClass</w:t>
      </w:r>
      <w:r w:rsidRPr="009F7AAA">
        <w:rPr>
          <w:rFonts w:ascii="Arial" w:hAnsi="Arial" w:cs="Arial"/>
          <w:bCs/>
          <w:i/>
          <w:iCs/>
          <w:sz w:val="20"/>
          <w:szCs w:val="20"/>
        </w:rPr>
        <w:t xml:space="preserve"> based </w:t>
      </w:r>
      <w:r>
        <w:rPr>
          <w:rFonts w:ascii="Arial" w:hAnsi="Arial" w:cs="Arial"/>
          <w:bCs/>
          <w:i/>
          <w:iCs/>
          <w:sz w:val="20"/>
          <w:szCs w:val="20"/>
        </w:rPr>
        <w:t xml:space="preserve">SAR </w:t>
      </w:r>
      <w:r w:rsidRPr="009F7AAA">
        <w:rPr>
          <w:rFonts w:ascii="Arial" w:hAnsi="Arial" w:cs="Arial"/>
          <w:bCs/>
          <w:i/>
          <w:iCs/>
          <w:sz w:val="20"/>
          <w:szCs w:val="20"/>
        </w:rPr>
        <w:t>solution for any new HPUE CA/DC UL configuration in Rel-19 and going forward.</w:t>
      </w:r>
    </w:p>
    <w:p w14:paraId="35878488" w14:textId="77777777" w:rsidR="008A3AE7" w:rsidRDefault="008A3AE7" w:rsidP="008A3AE7">
      <w:pPr>
        <w:jc w:val="both"/>
        <w:rPr>
          <w:rFonts w:ascii="Arial" w:hAnsi="Arial" w:cs="Arial"/>
          <w:sz w:val="20"/>
          <w:szCs w:val="20"/>
        </w:rPr>
      </w:pPr>
    </w:p>
    <w:p w14:paraId="04EF9588" w14:textId="7B904C2C" w:rsidR="00472C4E" w:rsidRDefault="008671F9" w:rsidP="008A3AE7">
      <w:pPr>
        <w:spacing w:after="120"/>
        <w:jc w:val="both"/>
        <w:rPr>
          <w:rFonts w:ascii="Arial" w:hAnsi="Arial" w:cs="Arial"/>
          <w:sz w:val="20"/>
          <w:szCs w:val="20"/>
        </w:rPr>
      </w:pPr>
      <w:r>
        <w:rPr>
          <w:rFonts w:ascii="Arial" w:hAnsi="Arial" w:cs="Arial"/>
          <w:b/>
          <w:i/>
          <w:iCs/>
          <w:sz w:val="20"/>
          <w:szCs w:val="20"/>
        </w:rPr>
        <w:t>Proposal</w:t>
      </w:r>
      <w:r w:rsidRPr="00CE1748">
        <w:rPr>
          <w:rFonts w:ascii="Arial" w:hAnsi="Arial" w:cs="Arial"/>
          <w:bCs/>
          <w:i/>
          <w:iCs/>
          <w:sz w:val="20"/>
          <w:szCs w:val="20"/>
        </w:rPr>
        <w:t xml:space="preserve">: </w:t>
      </w:r>
      <w:r>
        <w:rPr>
          <w:rFonts w:ascii="Arial" w:hAnsi="Arial" w:cs="Arial"/>
          <w:bCs/>
          <w:i/>
          <w:iCs/>
          <w:sz w:val="20"/>
          <w:szCs w:val="20"/>
        </w:rPr>
        <w:t>RAN4 do not</w:t>
      </w:r>
      <w:r w:rsidRPr="00B80498">
        <w:rPr>
          <w:rFonts w:ascii="Arial" w:hAnsi="Arial" w:cs="Arial"/>
          <w:bCs/>
          <w:i/>
          <w:iCs/>
          <w:sz w:val="20"/>
          <w:szCs w:val="20"/>
        </w:rPr>
        <w:t xml:space="preserve"> consider UL duty-cycle </w:t>
      </w:r>
      <w:r>
        <w:rPr>
          <w:rFonts w:ascii="Arial" w:hAnsi="Arial" w:cs="Arial"/>
          <w:bCs/>
          <w:i/>
          <w:iCs/>
          <w:sz w:val="20"/>
          <w:szCs w:val="20"/>
        </w:rPr>
        <w:t>with</w:t>
      </w:r>
      <w:r w:rsidRPr="00B80498">
        <w:rPr>
          <w:rFonts w:ascii="Arial" w:hAnsi="Arial" w:cs="Arial"/>
          <w:bCs/>
          <w:i/>
          <w:iCs/>
          <w:sz w:val="20"/>
          <w:szCs w:val="20"/>
        </w:rPr>
        <w:t xml:space="preserve"> ΔP</w:t>
      </w:r>
      <w:r w:rsidRPr="00B80498">
        <w:rPr>
          <w:rFonts w:ascii="Arial" w:hAnsi="Arial" w:cs="Arial"/>
          <w:bCs/>
          <w:i/>
          <w:iCs/>
          <w:sz w:val="20"/>
          <w:szCs w:val="20"/>
          <w:vertAlign w:val="subscript"/>
        </w:rPr>
        <w:t>PowerClass</w:t>
      </w:r>
      <w:r w:rsidRPr="00B80498">
        <w:rPr>
          <w:rFonts w:ascii="Arial" w:hAnsi="Arial" w:cs="Arial"/>
          <w:bCs/>
          <w:i/>
          <w:iCs/>
          <w:sz w:val="20"/>
          <w:szCs w:val="20"/>
        </w:rPr>
        <w:t xml:space="preserve"> </w:t>
      </w:r>
      <w:r>
        <w:rPr>
          <w:rFonts w:ascii="Arial" w:hAnsi="Arial" w:cs="Arial"/>
          <w:bCs/>
          <w:i/>
          <w:iCs/>
          <w:sz w:val="20"/>
          <w:szCs w:val="20"/>
        </w:rPr>
        <w:t xml:space="preserve">based SAR solution </w:t>
      </w:r>
      <w:r w:rsidRPr="009F7AAA">
        <w:rPr>
          <w:rFonts w:ascii="Arial" w:hAnsi="Arial" w:cs="Arial"/>
          <w:bCs/>
          <w:i/>
          <w:iCs/>
          <w:sz w:val="20"/>
          <w:szCs w:val="20"/>
        </w:rPr>
        <w:t>for any new HPUE CA/DC UL configuration in Rel-19 and going forward.</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6B45D8A2" w14:textId="600F52DF" w:rsidR="00C57E50" w:rsidRDefault="00CC2275" w:rsidP="00472C4E">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Pr>
          <w:rFonts w:ascii="Arial" w:hAnsi="Arial" w:cs="Arial"/>
          <w:bCs/>
          <w:sz w:val="20"/>
          <w:szCs w:val="20"/>
        </w:rPr>
        <w:t>17098</w:t>
      </w:r>
      <w:r w:rsidRPr="00CA510E">
        <w:rPr>
          <w:rFonts w:ascii="Arial" w:hAnsi="Arial" w:cs="Arial"/>
          <w:bCs/>
          <w:sz w:val="20"/>
          <w:szCs w:val="20"/>
        </w:rPr>
        <w:t xml:space="preserve"> “</w:t>
      </w:r>
      <w:r w:rsidRPr="00733F92">
        <w:rPr>
          <w:rFonts w:ascii="Arial" w:hAnsi="Arial" w:cs="Arial"/>
          <w:bCs/>
          <w:sz w:val="20"/>
          <w:szCs w:val="20"/>
          <w:lang w:val="en-GB"/>
        </w:rPr>
        <w:t>WF on HPUE RF requirements</w:t>
      </w:r>
      <w:r w:rsidRPr="00CA510E">
        <w:rPr>
          <w:rFonts w:ascii="Arial" w:hAnsi="Arial" w:cs="Arial"/>
          <w:bCs/>
          <w:sz w:val="20"/>
          <w:szCs w:val="20"/>
        </w:rPr>
        <w:t xml:space="preserve">”, </w:t>
      </w:r>
      <w:r>
        <w:rPr>
          <w:rFonts w:ascii="Arial" w:hAnsi="Arial" w:cs="Arial"/>
          <w:bCs/>
          <w:sz w:val="20"/>
          <w:szCs w:val="20"/>
        </w:rPr>
        <w:t>Samsung</w:t>
      </w:r>
      <w:r w:rsidRPr="00CA510E">
        <w:rPr>
          <w:rFonts w:ascii="Arial" w:hAnsi="Arial" w:cs="Arial"/>
          <w:bCs/>
          <w:sz w:val="20"/>
          <w:szCs w:val="20"/>
        </w:rPr>
        <w:t>, 3GPP TSG RAN WG4 Meeting #11</w:t>
      </w:r>
      <w:r>
        <w:rPr>
          <w:rFonts w:ascii="Arial" w:hAnsi="Arial" w:cs="Arial"/>
          <w:bCs/>
          <w:sz w:val="20"/>
          <w:szCs w:val="20"/>
        </w:rPr>
        <w:t>2bis</w:t>
      </w:r>
      <w:r w:rsidRPr="00CA510E">
        <w:rPr>
          <w:rFonts w:ascii="Arial" w:hAnsi="Arial" w:cs="Arial"/>
          <w:bCs/>
          <w:sz w:val="20"/>
          <w:szCs w:val="20"/>
        </w:rPr>
        <w:t xml:space="preserve">, </w:t>
      </w:r>
      <w:r>
        <w:rPr>
          <w:rFonts w:ascii="Arial" w:hAnsi="Arial" w:cs="Arial"/>
          <w:bCs/>
          <w:sz w:val="20"/>
          <w:szCs w:val="20"/>
        </w:rPr>
        <w:t>Hefei</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October</w:t>
      </w:r>
      <w:r w:rsidRPr="00CA510E">
        <w:rPr>
          <w:rFonts w:ascii="Arial" w:hAnsi="Arial" w:cs="Arial"/>
          <w:bCs/>
          <w:sz w:val="20"/>
          <w:szCs w:val="20"/>
        </w:rPr>
        <w:t xml:space="preserve"> </w:t>
      </w:r>
      <w:r>
        <w:rPr>
          <w:rFonts w:ascii="Arial" w:hAnsi="Arial" w:cs="Arial"/>
          <w:bCs/>
          <w:sz w:val="20"/>
          <w:szCs w:val="20"/>
        </w:rPr>
        <w:t>14</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18</w:t>
      </w:r>
      <w:r>
        <w:rPr>
          <w:rFonts w:ascii="Arial" w:hAnsi="Arial" w:cs="Arial"/>
          <w:bCs/>
          <w:sz w:val="20"/>
          <w:szCs w:val="20"/>
          <w:vertAlign w:val="superscript"/>
        </w:rPr>
        <w:t>th</w:t>
      </w:r>
      <w:r w:rsidRPr="00CA510E">
        <w:rPr>
          <w:rFonts w:ascii="Arial" w:hAnsi="Arial" w:cs="Arial"/>
          <w:bCs/>
          <w:sz w:val="20"/>
          <w:szCs w:val="20"/>
        </w:rPr>
        <w:t>, 2024</w:t>
      </w:r>
    </w:p>
    <w:p w14:paraId="573CD2F7" w14:textId="4902FF6A" w:rsidR="008A3AE7" w:rsidRPr="00B80498" w:rsidRDefault="00BA5D92" w:rsidP="00B80498">
      <w:pPr>
        <w:pStyle w:val="EX"/>
        <w:spacing w:after="180"/>
        <w:ind w:left="374" w:hanging="374"/>
        <w:jc w:val="both"/>
        <w:rPr>
          <w:rFonts w:ascii="Arial" w:hAnsi="Arial" w:cs="Arial"/>
          <w:bCs/>
          <w:sz w:val="20"/>
          <w:szCs w:val="20"/>
        </w:rPr>
      </w:pPr>
      <w:r w:rsidRPr="003E29F3">
        <w:rPr>
          <w:rFonts w:ascii="Arial" w:hAnsi="Arial" w:cs="Arial"/>
          <w:bCs/>
          <w:sz w:val="20"/>
          <w:szCs w:val="20"/>
        </w:rPr>
        <w:t>R</w:t>
      </w:r>
      <w:r w:rsidR="008671F9">
        <w:rPr>
          <w:rFonts w:ascii="Arial" w:hAnsi="Arial" w:cs="Arial"/>
          <w:bCs/>
          <w:sz w:val="20"/>
          <w:szCs w:val="20"/>
        </w:rPr>
        <w:t>4</w:t>
      </w:r>
      <w:r w:rsidRPr="003E29F3">
        <w:rPr>
          <w:rFonts w:ascii="Arial" w:hAnsi="Arial" w:cs="Arial"/>
          <w:bCs/>
          <w:sz w:val="20"/>
          <w:szCs w:val="20"/>
        </w:rPr>
        <w:t>-24</w:t>
      </w:r>
      <w:r w:rsidR="008671F9">
        <w:rPr>
          <w:rFonts w:ascii="Arial" w:hAnsi="Arial" w:cs="Arial"/>
          <w:bCs/>
          <w:sz w:val="20"/>
          <w:szCs w:val="20"/>
        </w:rPr>
        <w:t>00180</w:t>
      </w:r>
      <w:r w:rsidRPr="008B4249">
        <w:rPr>
          <w:rFonts w:ascii="Arial" w:hAnsi="Arial" w:cs="Arial"/>
          <w:bCs/>
          <w:sz w:val="20"/>
          <w:szCs w:val="20"/>
        </w:rPr>
        <w:t xml:space="preserve"> </w:t>
      </w:r>
      <w:r>
        <w:rPr>
          <w:rFonts w:ascii="Arial" w:hAnsi="Arial" w:cs="Arial"/>
          <w:bCs/>
          <w:sz w:val="20"/>
          <w:szCs w:val="20"/>
        </w:rPr>
        <w:t>“</w:t>
      </w:r>
      <w:r w:rsidR="008671F9" w:rsidRPr="008671F9">
        <w:rPr>
          <w:rFonts w:ascii="Arial" w:hAnsi="Arial" w:cs="Arial"/>
          <w:bCs/>
          <w:sz w:val="20"/>
          <w:szCs w:val="20"/>
        </w:rPr>
        <w:t>On misconception of power class fallback</w:t>
      </w:r>
      <w:r>
        <w:rPr>
          <w:rFonts w:ascii="Arial" w:hAnsi="Arial" w:cs="Arial"/>
          <w:bCs/>
          <w:sz w:val="20"/>
          <w:szCs w:val="20"/>
        </w:rPr>
        <w:t>”</w:t>
      </w:r>
      <w:r w:rsidRPr="008B4249">
        <w:rPr>
          <w:rFonts w:ascii="Arial" w:hAnsi="Arial" w:cs="Arial"/>
          <w:bCs/>
          <w:sz w:val="20"/>
          <w:szCs w:val="20"/>
        </w:rPr>
        <w:t xml:space="preserve">, </w:t>
      </w:r>
      <w:r w:rsidR="008671F9">
        <w:rPr>
          <w:rFonts w:ascii="Arial" w:hAnsi="Arial" w:cs="Arial"/>
          <w:bCs/>
          <w:sz w:val="20"/>
          <w:szCs w:val="20"/>
        </w:rPr>
        <w:t>Apple</w:t>
      </w:r>
      <w:r>
        <w:rPr>
          <w:rFonts w:ascii="Arial" w:hAnsi="Arial" w:cs="Arial"/>
          <w:bCs/>
          <w:sz w:val="20"/>
          <w:szCs w:val="20"/>
        </w:rPr>
        <w:t xml:space="preserve">, </w:t>
      </w:r>
      <w:r w:rsidR="008671F9" w:rsidRPr="00CA510E">
        <w:rPr>
          <w:rFonts w:ascii="Arial" w:hAnsi="Arial" w:cs="Arial"/>
          <w:bCs/>
          <w:sz w:val="20"/>
          <w:szCs w:val="20"/>
        </w:rPr>
        <w:t>3GPP TSG RAN WG4 Meeting</w:t>
      </w:r>
      <w:r w:rsidRPr="008B4249">
        <w:rPr>
          <w:rFonts w:ascii="Arial" w:hAnsi="Arial" w:cs="Arial"/>
          <w:bCs/>
          <w:sz w:val="20"/>
          <w:szCs w:val="20"/>
        </w:rPr>
        <w:t xml:space="preserve"> #</w:t>
      </w:r>
      <w:r>
        <w:rPr>
          <w:rFonts w:ascii="Arial" w:hAnsi="Arial" w:cs="Arial"/>
          <w:bCs/>
          <w:sz w:val="20"/>
          <w:szCs w:val="20"/>
        </w:rPr>
        <w:t>1</w:t>
      </w:r>
      <w:r w:rsidR="008671F9">
        <w:rPr>
          <w:rFonts w:ascii="Arial" w:hAnsi="Arial" w:cs="Arial"/>
          <w:bCs/>
          <w:sz w:val="20"/>
          <w:szCs w:val="20"/>
        </w:rPr>
        <w:t>10</w:t>
      </w:r>
      <w:r w:rsidRPr="008B4249">
        <w:rPr>
          <w:rFonts w:ascii="Arial" w:hAnsi="Arial" w:cs="Arial"/>
          <w:bCs/>
          <w:sz w:val="20"/>
          <w:szCs w:val="20"/>
        </w:rPr>
        <w:t xml:space="preserve">, </w:t>
      </w:r>
      <w:r w:rsidR="008671F9">
        <w:rPr>
          <w:rFonts w:ascii="Arial" w:hAnsi="Arial" w:cs="Arial"/>
          <w:bCs/>
          <w:sz w:val="20"/>
          <w:szCs w:val="20"/>
        </w:rPr>
        <w:t>Athens</w:t>
      </w:r>
      <w:r>
        <w:rPr>
          <w:rFonts w:ascii="Arial" w:hAnsi="Arial" w:cs="Arial"/>
          <w:bCs/>
          <w:sz w:val="20"/>
          <w:szCs w:val="20"/>
        </w:rPr>
        <w:t xml:space="preserve">, </w:t>
      </w:r>
      <w:r w:rsidR="008671F9">
        <w:rPr>
          <w:rFonts w:ascii="Arial" w:hAnsi="Arial" w:cs="Arial"/>
          <w:bCs/>
          <w:sz w:val="20"/>
          <w:szCs w:val="20"/>
        </w:rPr>
        <w:t>Greece</w:t>
      </w:r>
      <w:r w:rsidRPr="008B4249">
        <w:rPr>
          <w:rFonts w:ascii="Arial" w:hAnsi="Arial" w:cs="Arial"/>
          <w:bCs/>
          <w:sz w:val="20"/>
          <w:szCs w:val="20"/>
        </w:rPr>
        <w:t xml:space="preserve">, </w:t>
      </w:r>
      <w:r w:rsidR="008671F9">
        <w:rPr>
          <w:rFonts w:ascii="Arial" w:hAnsi="Arial" w:cs="Arial"/>
          <w:bCs/>
          <w:sz w:val="20"/>
          <w:szCs w:val="20"/>
        </w:rPr>
        <w:t>February</w:t>
      </w:r>
      <w:r w:rsidRPr="008B4249">
        <w:rPr>
          <w:rFonts w:ascii="Arial" w:hAnsi="Arial" w:cs="Arial"/>
          <w:bCs/>
          <w:sz w:val="20"/>
          <w:szCs w:val="20"/>
        </w:rPr>
        <w:t xml:space="preserve"> </w:t>
      </w:r>
      <w:r w:rsidR="008671F9">
        <w:rPr>
          <w:rFonts w:ascii="Arial" w:hAnsi="Arial" w:cs="Arial"/>
          <w:bCs/>
          <w:sz w:val="20"/>
          <w:szCs w:val="20"/>
        </w:rPr>
        <w:t>26</w:t>
      </w:r>
      <w:r w:rsidRPr="008B4249">
        <w:rPr>
          <w:rFonts w:ascii="Arial" w:hAnsi="Arial" w:cs="Arial"/>
          <w:bCs/>
          <w:sz w:val="20"/>
          <w:szCs w:val="20"/>
          <w:vertAlign w:val="superscript"/>
        </w:rPr>
        <w:t>th</w:t>
      </w:r>
      <w:r w:rsidRPr="008B4249">
        <w:rPr>
          <w:rFonts w:ascii="Arial" w:hAnsi="Arial" w:cs="Arial"/>
          <w:bCs/>
          <w:sz w:val="20"/>
          <w:szCs w:val="20"/>
        </w:rPr>
        <w:t xml:space="preserve"> – </w:t>
      </w:r>
      <w:r w:rsidR="008671F9">
        <w:rPr>
          <w:rFonts w:ascii="Arial" w:hAnsi="Arial" w:cs="Arial"/>
          <w:bCs/>
          <w:sz w:val="20"/>
          <w:szCs w:val="20"/>
        </w:rPr>
        <w:t>March 1</w:t>
      </w:r>
      <w:r w:rsidR="008671F9">
        <w:rPr>
          <w:rFonts w:ascii="Arial" w:hAnsi="Arial" w:cs="Arial"/>
          <w:bCs/>
          <w:sz w:val="20"/>
          <w:szCs w:val="20"/>
          <w:vertAlign w:val="superscript"/>
        </w:rPr>
        <w:t>st</w:t>
      </w:r>
      <w:r w:rsidRPr="008B4249">
        <w:rPr>
          <w:rFonts w:ascii="Arial" w:hAnsi="Arial" w:cs="Arial"/>
          <w:bCs/>
          <w:sz w:val="20"/>
          <w:szCs w:val="20"/>
        </w:rPr>
        <w:t>, 202</w:t>
      </w:r>
      <w:r>
        <w:rPr>
          <w:rFonts w:ascii="Arial" w:hAnsi="Arial" w:cs="Arial"/>
          <w:bCs/>
          <w:sz w:val="20"/>
          <w:szCs w:val="20"/>
        </w:rPr>
        <w:t>4</w:t>
      </w:r>
    </w:p>
    <w:sectPr w:rsidR="008A3AE7" w:rsidRPr="00B80498"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24F2C" w14:textId="77777777" w:rsidR="005B6757" w:rsidRDefault="005B6757">
      <w:r>
        <w:separator/>
      </w:r>
    </w:p>
  </w:endnote>
  <w:endnote w:type="continuationSeparator" w:id="0">
    <w:p w14:paraId="0985A9C3" w14:textId="77777777" w:rsidR="005B6757" w:rsidRDefault="005B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568AA" w14:textId="77777777" w:rsidR="005B6757" w:rsidRDefault="005B6757">
      <w:r>
        <w:separator/>
      </w:r>
    </w:p>
  </w:footnote>
  <w:footnote w:type="continuationSeparator" w:id="0">
    <w:p w14:paraId="31E961A7" w14:textId="77777777" w:rsidR="005B6757" w:rsidRDefault="005B6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6"/>
  </w:num>
  <w:num w:numId="13" w16cid:durableId="1621182100">
    <w:abstractNumId w:val="11"/>
  </w:num>
  <w:num w:numId="14" w16cid:durableId="681855791">
    <w:abstractNumId w:val="12"/>
  </w:num>
  <w:num w:numId="15" w16cid:durableId="1387412062">
    <w:abstractNumId w:val="18"/>
  </w:num>
  <w:num w:numId="16" w16cid:durableId="1707214678">
    <w:abstractNumId w:val="27"/>
  </w:num>
  <w:num w:numId="17" w16cid:durableId="1228883719">
    <w:abstractNumId w:val="15"/>
  </w:num>
  <w:num w:numId="18" w16cid:durableId="1736001611">
    <w:abstractNumId w:val="10"/>
  </w:num>
  <w:num w:numId="19" w16cid:durableId="1708026189">
    <w:abstractNumId w:val="25"/>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4"/>
  </w:num>
  <w:num w:numId="25" w16cid:durableId="1758358505">
    <w:abstractNumId w:val="4"/>
  </w:num>
  <w:num w:numId="26" w16cid:durableId="2108961271">
    <w:abstractNumId w:val="28"/>
  </w:num>
  <w:num w:numId="27" w16cid:durableId="1853451127">
    <w:abstractNumId w:val="23"/>
  </w:num>
  <w:num w:numId="28" w16cid:durableId="719016014">
    <w:abstractNumId w:val="20"/>
  </w:num>
  <w:num w:numId="29" w16cid:durableId="44761965">
    <w:abstractNumId w:val="9"/>
  </w:num>
  <w:num w:numId="30" w16cid:durableId="750783015">
    <w:abstractNumId w:val="1"/>
  </w:num>
  <w:num w:numId="31" w16cid:durableId="10296419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1172F"/>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3182"/>
    <w:rsid w:val="00063B53"/>
    <w:rsid w:val="00065297"/>
    <w:rsid w:val="000655A6"/>
    <w:rsid w:val="00066C19"/>
    <w:rsid w:val="0006704A"/>
    <w:rsid w:val="00067BF7"/>
    <w:rsid w:val="0007035B"/>
    <w:rsid w:val="0007289F"/>
    <w:rsid w:val="0007513F"/>
    <w:rsid w:val="00076DD0"/>
    <w:rsid w:val="00080512"/>
    <w:rsid w:val="00080638"/>
    <w:rsid w:val="000816E4"/>
    <w:rsid w:val="0008297C"/>
    <w:rsid w:val="00084525"/>
    <w:rsid w:val="00084A90"/>
    <w:rsid w:val="00085035"/>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7F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1E89"/>
    <w:rsid w:val="00122D29"/>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611C"/>
    <w:rsid w:val="00166B5C"/>
    <w:rsid w:val="00166F82"/>
    <w:rsid w:val="00171090"/>
    <w:rsid w:val="00171900"/>
    <w:rsid w:val="0017381F"/>
    <w:rsid w:val="0017591E"/>
    <w:rsid w:val="00175D32"/>
    <w:rsid w:val="00176183"/>
    <w:rsid w:val="00177ADC"/>
    <w:rsid w:val="0018025B"/>
    <w:rsid w:val="00181118"/>
    <w:rsid w:val="0018140C"/>
    <w:rsid w:val="001815E8"/>
    <w:rsid w:val="001825F0"/>
    <w:rsid w:val="00183720"/>
    <w:rsid w:val="001841B1"/>
    <w:rsid w:val="00184AB9"/>
    <w:rsid w:val="00185023"/>
    <w:rsid w:val="0018540A"/>
    <w:rsid w:val="001856D4"/>
    <w:rsid w:val="00185E52"/>
    <w:rsid w:val="00191285"/>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DBF"/>
    <w:rsid w:val="001B5770"/>
    <w:rsid w:val="001B7371"/>
    <w:rsid w:val="001B7504"/>
    <w:rsid w:val="001C21C3"/>
    <w:rsid w:val="001C62F8"/>
    <w:rsid w:val="001C65A6"/>
    <w:rsid w:val="001D02C2"/>
    <w:rsid w:val="001D1470"/>
    <w:rsid w:val="001D2827"/>
    <w:rsid w:val="001D2A82"/>
    <w:rsid w:val="001D5CA8"/>
    <w:rsid w:val="001D5CFB"/>
    <w:rsid w:val="001E08B8"/>
    <w:rsid w:val="001E145D"/>
    <w:rsid w:val="001E3074"/>
    <w:rsid w:val="001E3A12"/>
    <w:rsid w:val="001E5433"/>
    <w:rsid w:val="001E6049"/>
    <w:rsid w:val="001F0755"/>
    <w:rsid w:val="001F0C1D"/>
    <w:rsid w:val="001F1132"/>
    <w:rsid w:val="001F168B"/>
    <w:rsid w:val="001F4BE5"/>
    <w:rsid w:val="001F59D5"/>
    <w:rsid w:val="001F6315"/>
    <w:rsid w:val="001F6FF3"/>
    <w:rsid w:val="002006FE"/>
    <w:rsid w:val="00201D78"/>
    <w:rsid w:val="00203D18"/>
    <w:rsid w:val="00204648"/>
    <w:rsid w:val="00205934"/>
    <w:rsid w:val="002077B7"/>
    <w:rsid w:val="00210031"/>
    <w:rsid w:val="0021021D"/>
    <w:rsid w:val="002107B1"/>
    <w:rsid w:val="002115E7"/>
    <w:rsid w:val="002121FB"/>
    <w:rsid w:val="002123CE"/>
    <w:rsid w:val="002129E8"/>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5DFB"/>
    <w:rsid w:val="0024746B"/>
    <w:rsid w:val="00247926"/>
    <w:rsid w:val="002504F0"/>
    <w:rsid w:val="00252700"/>
    <w:rsid w:val="00256995"/>
    <w:rsid w:val="00257410"/>
    <w:rsid w:val="002608DE"/>
    <w:rsid w:val="00261B7C"/>
    <w:rsid w:val="002627B4"/>
    <w:rsid w:val="002637C2"/>
    <w:rsid w:val="0026424E"/>
    <w:rsid w:val="0026644D"/>
    <w:rsid w:val="00266DC0"/>
    <w:rsid w:val="002675F0"/>
    <w:rsid w:val="00271B31"/>
    <w:rsid w:val="00271ECF"/>
    <w:rsid w:val="00271FFB"/>
    <w:rsid w:val="002726BC"/>
    <w:rsid w:val="00274A90"/>
    <w:rsid w:val="00275D60"/>
    <w:rsid w:val="00276C70"/>
    <w:rsid w:val="00276EE4"/>
    <w:rsid w:val="00277172"/>
    <w:rsid w:val="00277585"/>
    <w:rsid w:val="00277626"/>
    <w:rsid w:val="0028039F"/>
    <w:rsid w:val="002804E1"/>
    <w:rsid w:val="0028051A"/>
    <w:rsid w:val="0028193A"/>
    <w:rsid w:val="00284236"/>
    <w:rsid w:val="0028485D"/>
    <w:rsid w:val="00286917"/>
    <w:rsid w:val="0029079A"/>
    <w:rsid w:val="00291A2A"/>
    <w:rsid w:val="00295527"/>
    <w:rsid w:val="00296065"/>
    <w:rsid w:val="00296836"/>
    <w:rsid w:val="002A040F"/>
    <w:rsid w:val="002A07F2"/>
    <w:rsid w:val="002A195A"/>
    <w:rsid w:val="002A2A03"/>
    <w:rsid w:val="002A460E"/>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E78D0"/>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177CF"/>
    <w:rsid w:val="00322C5B"/>
    <w:rsid w:val="00324C31"/>
    <w:rsid w:val="00325108"/>
    <w:rsid w:val="00326BE2"/>
    <w:rsid w:val="00327934"/>
    <w:rsid w:val="00327D7A"/>
    <w:rsid w:val="003304FE"/>
    <w:rsid w:val="003317C8"/>
    <w:rsid w:val="003325B7"/>
    <w:rsid w:val="00335F34"/>
    <w:rsid w:val="0034052F"/>
    <w:rsid w:val="003438E2"/>
    <w:rsid w:val="00344178"/>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97FDB"/>
    <w:rsid w:val="003A0483"/>
    <w:rsid w:val="003A07CA"/>
    <w:rsid w:val="003A07DD"/>
    <w:rsid w:val="003A0AD2"/>
    <w:rsid w:val="003A51C7"/>
    <w:rsid w:val="003A580B"/>
    <w:rsid w:val="003A66C6"/>
    <w:rsid w:val="003B14E6"/>
    <w:rsid w:val="003B270B"/>
    <w:rsid w:val="003B2900"/>
    <w:rsid w:val="003B308D"/>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269"/>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A76"/>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2C4E"/>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5736"/>
    <w:rsid w:val="00496BA8"/>
    <w:rsid w:val="004A1B75"/>
    <w:rsid w:val="004A1C51"/>
    <w:rsid w:val="004A3D27"/>
    <w:rsid w:val="004A48FA"/>
    <w:rsid w:val="004A5136"/>
    <w:rsid w:val="004A5DB3"/>
    <w:rsid w:val="004A615E"/>
    <w:rsid w:val="004A6E04"/>
    <w:rsid w:val="004B10D0"/>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A06"/>
    <w:rsid w:val="00502D4C"/>
    <w:rsid w:val="00502D9B"/>
    <w:rsid w:val="00503413"/>
    <w:rsid w:val="005035B9"/>
    <w:rsid w:val="005038CA"/>
    <w:rsid w:val="00504DB3"/>
    <w:rsid w:val="00505504"/>
    <w:rsid w:val="00506C9D"/>
    <w:rsid w:val="00510297"/>
    <w:rsid w:val="0051276C"/>
    <w:rsid w:val="00512E97"/>
    <w:rsid w:val="00513CF2"/>
    <w:rsid w:val="005152B9"/>
    <w:rsid w:val="00516B1C"/>
    <w:rsid w:val="0052034A"/>
    <w:rsid w:val="00521115"/>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4DDE"/>
    <w:rsid w:val="00556D61"/>
    <w:rsid w:val="00560892"/>
    <w:rsid w:val="00562F7C"/>
    <w:rsid w:val="00563714"/>
    <w:rsid w:val="00565087"/>
    <w:rsid w:val="00565648"/>
    <w:rsid w:val="00567534"/>
    <w:rsid w:val="005710B2"/>
    <w:rsid w:val="00572E14"/>
    <w:rsid w:val="00572E94"/>
    <w:rsid w:val="0057381A"/>
    <w:rsid w:val="00575133"/>
    <w:rsid w:val="00575F68"/>
    <w:rsid w:val="0057672C"/>
    <w:rsid w:val="005776DB"/>
    <w:rsid w:val="005833B5"/>
    <w:rsid w:val="005834F5"/>
    <w:rsid w:val="00583C12"/>
    <w:rsid w:val="00586673"/>
    <w:rsid w:val="005869F3"/>
    <w:rsid w:val="00593264"/>
    <w:rsid w:val="00593820"/>
    <w:rsid w:val="00594220"/>
    <w:rsid w:val="00594A1E"/>
    <w:rsid w:val="00594F57"/>
    <w:rsid w:val="00596836"/>
    <w:rsid w:val="005973BE"/>
    <w:rsid w:val="005A0674"/>
    <w:rsid w:val="005A252D"/>
    <w:rsid w:val="005A283F"/>
    <w:rsid w:val="005A3005"/>
    <w:rsid w:val="005A4921"/>
    <w:rsid w:val="005A5986"/>
    <w:rsid w:val="005A656C"/>
    <w:rsid w:val="005B177F"/>
    <w:rsid w:val="005B2D59"/>
    <w:rsid w:val="005B363E"/>
    <w:rsid w:val="005B3A6D"/>
    <w:rsid w:val="005B6757"/>
    <w:rsid w:val="005B74DA"/>
    <w:rsid w:val="005C2501"/>
    <w:rsid w:val="005C25FF"/>
    <w:rsid w:val="005C43AC"/>
    <w:rsid w:val="005C7266"/>
    <w:rsid w:val="005C7420"/>
    <w:rsid w:val="005D0C87"/>
    <w:rsid w:val="005D2254"/>
    <w:rsid w:val="005D2BC8"/>
    <w:rsid w:val="005D2E01"/>
    <w:rsid w:val="005D4FFE"/>
    <w:rsid w:val="005D5C72"/>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5F73EC"/>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20C82"/>
    <w:rsid w:val="006234AA"/>
    <w:rsid w:val="00623E06"/>
    <w:rsid w:val="00623F3E"/>
    <w:rsid w:val="00624566"/>
    <w:rsid w:val="006246A7"/>
    <w:rsid w:val="00625205"/>
    <w:rsid w:val="0062595A"/>
    <w:rsid w:val="006261A9"/>
    <w:rsid w:val="0063010C"/>
    <w:rsid w:val="006301E8"/>
    <w:rsid w:val="0063355E"/>
    <w:rsid w:val="00634443"/>
    <w:rsid w:val="00634544"/>
    <w:rsid w:val="0063543D"/>
    <w:rsid w:val="0064068B"/>
    <w:rsid w:val="0064163A"/>
    <w:rsid w:val="006423F8"/>
    <w:rsid w:val="006445E1"/>
    <w:rsid w:val="00644EC4"/>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B86"/>
    <w:rsid w:val="006758B1"/>
    <w:rsid w:val="0068290F"/>
    <w:rsid w:val="006847C4"/>
    <w:rsid w:val="0068530E"/>
    <w:rsid w:val="00685A25"/>
    <w:rsid w:val="00687D57"/>
    <w:rsid w:val="00692398"/>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A3"/>
    <w:rsid w:val="006D5410"/>
    <w:rsid w:val="006D633B"/>
    <w:rsid w:val="006D7B72"/>
    <w:rsid w:val="006E1ABB"/>
    <w:rsid w:val="006E5A69"/>
    <w:rsid w:val="006E5C86"/>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2BA2"/>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169"/>
    <w:rsid w:val="00776634"/>
    <w:rsid w:val="00776849"/>
    <w:rsid w:val="00777975"/>
    <w:rsid w:val="007809E5"/>
    <w:rsid w:val="00781F0F"/>
    <w:rsid w:val="007833DA"/>
    <w:rsid w:val="00787683"/>
    <w:rsid w:val="00790B2B"/>
    <w:rsid w:val="007921F5"/>
    <w:rsid w:val="00792E76"/>
    <w:rsid w:val="0079544F"/>
    <w:rsid w:val="007955FC"/>
    <w:rsid w:val="007A0404"/>
    <w:rsid w:val="007A1885"/>
    <w:rsid w:val="007A57AC"/>
    <w:rsid w:val="007A6283"/>
    <w:rsid w:val="007A7C22"/>
    <w:rsid w:val="007A7EA5"/>
    <w:rsid w:val="007B0783"/>
    <w:rsid w:val="007B500E"/>
    <w:rsid w:val="007B600E"/>
    <w:rsid w:val="007B6162"/>
    <w:rsid w:val="007C1349"/>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2AE4"/>
    <w:rsid w:val="007F5061"/>
    <w:rsid w:val="007F57DE"/>
    <w:rsid w:val="00802493"/>
    <w:rsid w:val="008028A4"/>
    <w:rsid w:val="00802B8D"/>
    <w:rsid w:val="00802C23"/>
    <w:rsid w:val="00805884"/>
    <w:rsid w:val="00806E29"/>
    <w:rsid w:val="008109BC"/>
    <w:rsid w:val="00811DA5"/>
    <w:rsid w:val="00814317"/>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54C5"/>
    <w:rsid w:val="00850AF5"/>
    <w:rsid w:val="00850D6A"/>
    <w:rsid w:val="00850FBE"/>
    <w:rsid w:val="00851681"/>
    <w:rsid w:val="0085227D"/>
    <w:rsid w:val="00852D30"/>
    <w:rsid w:val="00854543"/>
    <w:rsid w:val="00854C13"/>
    <w:rsid w:val="0085666A"/>
    <w:rsid w:val="00856EF6"/>
    <w:rsid w:val="00863A8A"/>
    <w:rsid w:val="0086413B"/>
    <w:rsid w:val="00864ED2"/>
    <w:rsid w:val="008671F9"/>
    <w:rsid w:val="008677DA"/>
    <w:rsid w:val="00870EB0"/>
    <w:rsid w:val="0087165C"/>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6BA"/>
    <w:rsid w:val="00895E23"/>
    <w:rsid w:val="008979DE"/>
    <w:rsid w:val="008A07D9"/>
    <w:rsid w:val="008A3527"/>
    <w:rsid w:val="008A3AE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3A72"/>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078F2"/>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5CD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627"/>
    <w:rsid w:val="00987E57"/>
    <w:rsid w:val="00991963"/>
    <w:rsid w:val="0099295E"/>
    <w:rsid w:val="009929FF"/>
    <w:rsid w:val="00993A88"/>
    <w:rsid w:val="009950D3"/>
    <w:rsid w:val="009A162F"/>
    <w:rsid w:val="009A1B25"/>
    <w:rsid w:val="009A4EC2"/>
    <w:rsid w:val="009A561E"/>
    <w:rsid w:val="009B1855"/>
    <w:rsid w:val="009B236A"/>
    <w:rsid w:val="009B373D"/>
    <w:rsid w:val="009B3A45"/>
    <w:rsid w:val="009B4165"/>
    <w:rsid w:val="009B51F8"/>
    <w:rsid w:val="009B6177"/>
    <w:rsid w:val="009C0F0C"/>
    <w:rsid w:val="009C2313"/>
    <w:rsid w:val="009C327F"/>
    <w:rsid w:val="009C3639"/>
    <w:rsid w:val="009C39CA"/>
    <w:rsid w:val="009C4F99"/>
    <w:rsid w:val="009C58C3"/>
    <w:rsid w:val="009C5F8E"/>
    <w:rsid w:val="009C66C6"/>
    <w:rsid w:val="009C6D92"/>
    <w:rsid w:val="009D2B95"/>
    <w:rsid w:val="009D4870"/>
    <w:rsid w:val="009D528F"/>
    <w:rsid w:val="009D6C9C"/>
    <w:rsid w:val="009E21E8"/>
    <w:rsid w:val="009E23D5"/>
    <w:rsid w:val="009E342E"/>
    <w:rsid w:val="009E447F"/>
    <w:rsid w:val="009E5073"/>
    <w:rsid w:val="009E5E7E"/>
    <w:rsid w:val="009E643A"/>
    <w:rsid w:val="009E7DA3"/>
    <w:rsid w:val="009F2575"/>
    <w:rsid w:val="009F37B7"/>
    <w:rsid w:val="009F5433"/>
    <w:rsid w:val="009F5E43"/>
    <w:rsid w:val="009F7AAA"/>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5C73"/>
    <w:rsid w:val="00A41830"/>
    <w:rsid w:val="00A41BE4"/>
    <w:rsid w:val="00A50E60"/>
    <w:rsid w:val="00A517B0"/>
    <w:rsid w:val="00A51810"/>
    <w:rsid w:val="00A52486"/>
    <w:rsid w:val="00A53724"/>
    <w:rsid w:val="00A542F7"/>
    <w:rsid w:val="00A5609E"/>
    <w:rsid w:val="00A6250D"/>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C7965"/>
    <w:rsid w:val="00AD093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28FD"/>
    <w:rsid w:val="00B12B07"/>
    <w:rsid w:val="00B1390A"/>
    <w:rsid w:val="00B13E20"/>
    <w:rsid w:val="00B1431A"/>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471EA"/>
    <w:rsid w:val="00B50264"/>
    <w:rsid w:val="00B50471"/>
    <w:rsid w:val="00B504F7"/>
    <w:rsid w:val="00B5178A"/>
    <w:rsid w:val="00B51CDC"/>
    <w:rsid w:val="00B5302C"/>
    <w:rsid w:val="00B53697"/>
    <w:rsid w:val="00B54007"/>
    <w:rsid w:val="00B55583"/>
    <w:rsid w:val="00B56C27"/>
    <w:rsid w:val="00B6070A"/>
    <w:rsid w:val="00B646A5"/>
    <w:rsid w:val="00B65A49"/>
    <w:rsid w:val="00B72AF3"/>
    <w:rsid w:val="00B76FBB"/>
    <w:rsid w:val="00B77BF2"/>
    <w:rsid w:val="00B80498"/>
    <w:rsid w:val="00B804A1"/>
    <w:rsid w:val="00B863E2"/>
    <w:rsid w:val="00B9016C"/>
    <w:rsid w:val="00B92829"/>
    <w:rsid w:val="00B92FE4"/>
    <w:rsid w:val="00B93086"/>
    <w:rsid w:val="00B935F2"/>
    <w:rsid w:val="00B94A95"/>
    <w:rsid w:val="00B962C7"/>
    <w:rsid w:val="00B9657C"/>
    <w:rsid w:val="00B97F94"/>
    <w:rsid w:val="00BA11CA"/>
    <w:rsid w:val="00BA19ED"/>
    <w:rsid w:val="00BA2585"/>
    <w:rsid w:val="00BA299D"/>
    <w:rsid w:val="00BA2A3F"/>
    <w:rsid w:val="00BA300B"/>
    <w:rsid w:val="00BA3C49"/>
    <w:rsid w:val="00BA4767"/>
    <w:rsid w:val="00BA4B8D"/>
    <w:rsid w:val="00BA50B0"/>
    <w:rsid w:val="00BA5D92"/>
    <w:rsid w:val="00BA5F24"/>
    <w:rsid w:val="00BB31D8"/>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2EB"/>
    <w:rsid w:val="00BE1A7C"/>
    <w:rsid w:val="00BE3255"/>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3A4B"/>
    <w:rsid w:val="00C04A93"/>
    <w:rsid w:val="00C059F9"/>
    <w:rsid w:val="00C05CE0"/>
    <w:rsid w:val="00C0629C"/>
    <w:rsid w:val="00C0777A"/>
    <w:rsid w:val="00C079CE"/>
    <w:rsid w:val="00C1251D"/>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661C"/>
    <w:rsid w:val="00C371F9"/>
    <w:rsid w:val="00C375A9"/>
    <w:rsid w:val="00C40EAD"/>
    <w:rsid w:val="00C45231"/>
    <w:rsid w:val="00C4751A"/>
    <w:rsid w:val="00C5093D"/>
    <w:rsid w:val="00C50995"/>
    <w:rsid w:val="00C509CE"/>
    <w:rsid w:val="00C50DF3"/>
    <w:rsid w:val="00C538CA"/>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78E"/>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30E"/>
    <w:rsid w:val="00CC0B80"/>
    <w:rsid w:val="00CC1BA0"/>
    <w:rsid w:val="00CC2275"/>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54E"/>
    <w:rsid w:val="00CF1C1E"/>
    <w:rsid w:val="00CF20E3"/>
    <w:rsid w:val="00CF30A9"/>
    <w:rsid w:val="00CF3841"/>
    <w:rsid w:val="00CF620C"/>
    <w:rsid w:val="00CF65B5"/>
    <w:rsid w:val="00D00BA3"/>
    <w:rsid w:val="00D02D5A"/>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27680"/>
    <w:rsid w:val="00D309CC"/>
    <w:rsid w:val="00D32320"/>
    <w:rsid w:val="00D324F9"/>
    <w:rsid w:val="00D33957"/>
    <w:rsid w:val="00D35FEF"/>
    <w:rsid w:val="00D4156E"/>
    <w:rsid w:val="00D41D01"/>
    <w:rsid w:val="00D438FA"/>
    <w:rsid w:val="00D4587A"/>
    <w:rsid w:val="00D463D6"/>
    <w:rsid w:val="00D46431"/>
    <w:rsid w:val="00D46607"/>
    <w:rsid w:val="00D47831"/>
    <w:rsid w:val="00D50166"/>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4C9"/>
    <w:rsid w:val="00D71786"/>
    <w:rsid w:val="00D725F4"/>
    <w:rsid w:val="00D73555"/>
    <w:rsid w:val="00D738D6"/>
    <w:rsid w:val="00D74B53"/>
    <w:rsid w:val="00D74E7B"/>
    <w:rsid w:val="00D750DD"/>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7A2"/>
    <w:rsid w:val="00D975F5"/>
    <w:rsid w:val="00D97761"/>
    <w:rsid w:val="00D97CE6"/>
    <w:rsid w:val="00DA3B10"/>
    <w:rsid w:val="00DA3C0D"/>
    <w:rsid w:val="00DA4E3C"/>
    <w:rsid w:val="00DA7A03"/>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69C6"/>
    <w:rsid w:val="00DE7AA0"/>
    <w:rsid w:val="00DF02BA"/>
    <w:rsid w:val="00DF19EA"/>
    <w:rsid w:val="00DF1E17"/>
    <w:rsid w:val="00DF2B1F"/>
    <w:rsid w:val="00DF33DB"/>
    <w:rsid w:val="00DF4A24"/>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47C"/>
    <w:rsid w:val="00E77645"/>
    <w:rsid w:val="00E80040"/>
    <w:rsid w:val="00E808A6"/>
    <w:rsid w:val="00E828D4"/>
    <w:rsid w:val="00E853F2"/>
    <w:rsid w:val="00E861A6"/>
    <w:rsid w:val="00E86ADC"/>
    <w:rsid w:val="00E922FE"/>
    <w:rsid w:val="00E95F5E"/>
    <w:rsid w:val="00E963F7"/>
    <w:rsid w:val="00E97F1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729A"/>
    <w:rsid w:val="00EE0137"/>
    <w:rsid w:val="00EE0B97"/>
    <w:rsid w:val="00EE16B7"/>
    <w:rsid w:val="00EE2ECB"/>
    <w:rsid w:val="00EE35F1"/>
    <w:rsid w:val="00EE4122"/>
    <w:rsid w:val="00EE5AA7"/>
    <w:rsid w:val="00EE683F"/>
    <w:rsid w:val="00EE6EE3"/>
    <w:rsid w:val="00EE7844"/>
    <w:rsid w:val="00EF1417"/>
    <w:rsid w:val="00EF2D8D"/>
    <w:rsid w:val="00EF3A0C"/>
    <w:rsid w:val="00EF3F4D"/>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17BC7"/>
    <w:rsid w:val="00F200BB"/>
    <w:rsid w:val="00F21311"/>
    <w:rsid w:val="00F229FC"/>
    <w:rsid w:val="00F22EC7"/>
    <w:rsid w:val="00F25627"/>
    <w:rsid w:val="00F26D2F"/>
    <w:rsid w:val="00F32234"/>
    <w:rsid w:val="00F32507"/>
    <w:rsid w:val="00F325C8"/>
    <w:rsid w:val="00F3347C"/>
    <w:rsid w:val="00F34849"/>
    <w:rsid w:val="00F35A8C"/>
    <w:rsid w:val="00F35E69"/>
    <w:rsid w:val="00F40F9E"/>
    <w:rsid w:val="00F4310F"/>
    <w:rsid w:val="00F46B7B"/>
    <w:rsid w:val="00F479BC"/>
    <w:rsid w:val="00F47A34"/>
    <w:rsid w:val="00F536E9"/>
    <w:rsid w:val="00F54BE6"/>
    <w:rsid w:val="00F55C49"/>
    <w:rsid w:val="00F55F74"/>
    <w:rsid w:val="00F565B6"/>
    <w:rsid w:val="00F62AEB"/>
    <w:rsid w:val="00F63525"/>
    <w:rsid w:val="00F644CD"/>
    <w:rsid w:val="00F653B8"/>
    <w:rsid w:val="00F662C2"/>
    <w:rsid w:val="00F664DB"/>
    <w:rsid w:val="00F70628"/>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95A92"/>
    <w:rsid w:val="00FA08E1"/>
    <w:rsid w:val="00FA09D0"/>
    <w:rsid w:val="00FA1266"/>
    <w:rsid w:val="00FA29A4"/>
    <w:rsid w:val="00FA3A4C"/>
    <w:rsid w:val="00FB03DC"/>
    <w:rsid w:val="00FB133A"/>
    <w:rsid w:val="00FB4DCE"/>
    <w:rsid w:val="00FB50B5"/>
    <w:rsid w:val="00FB586F"/>
    <w:rsid w:val="00FB59CE"/>
    <w:rsid w:val="00FB645D"/>
    <w:rsid w:val="00FB6A3D"/>
    <w:rsid w:val="00FB7308"/>
    <w:rsid w:val="00FC1192"/>
    <w:rsid w:val="00FC43F3"/>
    <w:rsid w:val="00FC5FC2"/>
    <w:rsid w:val="00FC60A7"/>
    <w:rsid w:val="00FC7411"/>
    <w:rsid w:val="00FD2950"/>
    <w:rsid w:val="00FD3579"/>
    <w:rsid w:val="00FD3F5B"/>
    <w:rsid w:val="00FD432B"/>
    <w:rsid w:val="00FD4920"/>
    <w:rsid w:val="00FD63FE"/>
    <w:rsid w:val="00FD6763"/>
    <w:rsid w:val="00FD67F0"/>
    <w:rsid w:val="00FD72EF"/>
    <w:rsid w:val="00FE14B1"/>
    <w:rsid w:val="00FE4C2D"/>
    <w:rsid w:val="00FE5058"/>
    <w:rsid w:val="00FE7684"/>
    <w:rsid w:val="00FF12D1"/>
    <w:rsid w:val="00FF135C"/>
    <w:rsid w:val="00FF187D"/>
    <w:rsid w:val="00FF2138"/>
    <w:rsid w:val="00FF27B3"/>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4</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2024-11-06T22:22:00Z</dcterms:created>
  <dcterms:modified xsi:type="dcterms:W3CDTF">2024-11-08T01:09:00Z</dcterms:modified>
  <cp:category/>
</cp:coreProperties>
</file>